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098D8101"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#110</w:t>
      </w:r>
      <w:r w:rsidR="00DB3ADC">
        <w:rPr>
          <w:rFonts w:ascii="Times New Roman" w:hAnsi="Times New Roman"/>
          <w:noProof w:val="0"/>
          <w:sz w:val="24"/>
          <w:szCs w:val="24"/>
          <w:lang w:val="en-US"/>
        </w:rPr>
        <w:t>bis-e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C806AB">
        <w:rPr>
          <w:rFonts w:ascii="Times New Roman" w:hAnsi="Times New Roman"/>
          <w:noProof w:val="0"/>
          <w:sz w:val="24"/>
          <w:szCs w:val="24"/>
          <w:lang w:val="en-US"/>
        </w:rPr>
        <w:t>R1-</w:t>
      </w:r>
      <w:r w:rsidR="00DB3ADC" w:rsidRPr="00C806AB">
        <w:rPr>
          <w:rFonts w:ascii="Times New Roman" w:hAnsi="Times New Roman"/>
          <w:noProof w:val="0"/>
          <w:sz w:val="24"/>
          <w:szCs w:val="24"/>
          <w:lang w:val="en-US"/>
        </w:rPr>
        <w:t>22</w:t>
      </w:r>
      <w:r w:rsidR="00C806AB" w:rsidRPr="00C806AB">
        <w:rPr>
          <w:rFonts w:ascii="Times New Roman" w:hAnsi="Times New Roman"/>
          <w:noProof w:val="0"/>
          <w:sz w:val="24"/>
          <w:szCs w:val="24"/>
          <w:lang w:val="en-US"/>
        </w:rPr>
        <w:t>09734</w:t>
      </w:r>
      <w:bookmarkStart w:id="3" w:name="_GoBack"/>
      <w:bookmarkEnd w:id="3"/>
    </w:p>
    <w:p w14:paraId="75B68434" w14:textId="43A63646" w:rsidR="008F19D4" w:rsidRPr="00EE7300" w:rsidRDefault="00DB3ADC"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e-Meeting</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October</w:t>
      </w:r>
      <w:r w:rsidR="00F31EA6"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10</w:t>
      </w:r>
      <w:r w:rsidRPr="00DB3ADC">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October</w:t>
      </w:r>
      <w:r w:rsidR="00133192">
        <w:rPr>
          <w:rFonts w:ascii="Times New Roman" w:hAnsi="Times New Roman"/>
          <w:bCs/>
          <w:noProof w:val="0"/>
          <w:sz w:val="24"/>
          <w:szCs w:val="24"/>
          <w:lang w:val="en-US"/>
        </w:rPr>
        <w:t xml:space="preserve"> </w:t>
      </w:r>
      <w:r>
        <w:rPr>
          <w:rFonts w:ascii="Times New Roman" w:hAnsi="Times New Roman"/>
          <w:bCs/>
          <w:noProof w:val="0"/>
          <w:sz w:val="24"/>
          <w:szCs w:val="24"/>
          <w:lang w:val="en-US"/>
        </w:rPr>
        <w:t>19</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5BCAB18E"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531266">
        <w:rPr>
          <w:sz w:val="24"/>
        </w:rPr>
        <w:t>4</w:t>
      </w:r>
      <w:r w:rsidR="009B7BE9" w:rsidRPr="00EE7300">
        <w:rPr>
          <w:sz w:val="24"/>
        </w:rPr>
        <w:t>.</w:t>
      </w:r>
      <w:r w:rsidR="00DB3ADC">
        <w:rPr>
          <w:sz w:val="24"/>
        </w:rPr>
        <w:t>3</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3E67A5C"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DB3ADC">
        <w:rPr>
          <w:sz w:val="24"/>
          <w:szCs w:val="24"/>
        </w:rPr>
        <w:t>Evaluation Methodology for Enhanced SL Operation in FR2</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58154AB6" w14:textId="2B6F64C4" w:rsidR="00DB3ADC" w:rsidRDefault="00DB3ADC" w:rsidP="00074873">
      <w:pPr>
        <w:rPr>
          <w:lang w:eastAsia="ko-KR"/>
        </w:rPr>
      </w:pPr>
      <w:r>
        <w:rPr>
          <w:lang w:eastAsia="ko-KR"/>
        </w:rPr>
        <w:t>In RAN#97-e</w:t>
      </w:r>
      <w:r w:rsidR="008162FB">
        <w:rPr>
          <w:lang w:eastAsia="ko-KR"/>
        </w:rPr>
        <w:t xml:space="preserve"> it was agreed for RAN1 to update the evaluation methodology for SL FR2 commercial scenarios. The WID has been updated to reflect that</w:t>
      </w:r>
      <w:r w:rsidR="00CC0979">
        <w:rPr>
          <w:lang w:eastAsia="ko-KR"/>
        </w:rPr>
        <w:t xml:space="preserve"> </w:t>
      </w:r>
      <w:r w:rsidR="00CC0979">
        <w:rPr>
          <w:lang w:eastAsia="ko-KR"/>
        </w:rPr>
        <w:fldChar w:fldCharType="begin"/>
      </w:r>
      <w:r w:rsidR="00CC0979">
        <w:rPr>
          <w:lang w:eastAsia="ko-KR"/>
        </w:rPr>
        <w:instrText xml:space="preserve"> REF _Ref101557947 \r \h </w:instrText>
      </w:r>
      <w:r w:rsidR="00CC0979">
        <w:rPr>
          <w:lang w:eastAsia="ko-KR"/>
        </w:rPr>
      </w:r>
      <w:r w:rsidR="00CC0979">
        <w:rPr>
          <w:lang w:eastAsia="ko-KR"/>
        </w:rPr>
        <w:fldChar w:fldCharType="separate"/>
      </w:r>
      <w:r w:rsidR="00CC0979">
        <w:rPr>
          <w:lang w:eastAsia="ko-KR"/>
        </w:rPr>
        <w:t>[1]</w:t>
      </w:r>
      <w:r w:rsidR="00CC0979">
        <w:rPr>
          <w:lang w:eastAsia="ko-KR"/>
        </w:rPr>
        <w:fldChar w:fldCharType="end"/>
      </w:r>
      <w:r w:rsidR="008162FB">
        <w:rPr>
          <w:lang w:eastAsia="ko-KR"/>
        </w:rPr>
        <w:t>.</w:t>
      </w:r>
    </w:p>
    <w:p w14:paraId="5B186A58" w14:textId="77777777" w:rsidR="003A421C" w:rsidRDefault="003A421C" w:rsidP="00074873">
      <w:pPr>
        <w:rPr>
          <w:lang w:eastAsia="ko-KR"/>
        </w:rPr>
      </w:pPr>
    </w:p>
    <w:p w14:paraId="3E494091" w14:textId="54C5B8A6" w:rsidR="00074873" w:rsidRDefault="003A421C" w:rsidP="00074873">
      <w:pPr>
        <w:rPr>
          <w:lang w:eastAsia="ko-KR"/>
        </w:rPr>
      </w:pPr>
      <w:r>
        <w:rPr>
          <w:noProof/>
        </w:rPr>
        <mc:AlternateContent>
          <mc:Choice Requires="wps">
            <w:drawing>
              <wp:anchor distT="0" distB="0" distL="114300" distR="114300" simplePos="0" relativeHeight="251659264" behindDoc="0" locked="0" layoutInCell="1" allowOverlap="1" wp14:anchorId="241FC863" wp14:editId="725751C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2119A0F" w14:textId="11625ADE" w:rsidR="008162FB" w:rsidRPr="008162FB" w:rsidRDefault="008162FB" w:rsidP="008162FB">
                            <w:pPr>
                              <w:pStyle w:val="ListParagraph"/>
                              <w:numPr>
                                <w:ilvl w:val="0"/>
                                <w:numId w:val="45"/>
                              </w:numPr>
                              <w:overflowPunct w:val="0"/>
                              <w:autoSpaceDE w:val="0"/>
                              <w:autoSpaceDN w:val="0"/>
                              <w:adjustRightInd w:val="0"/>
                              <w:spacing w:before="120" w:after="0"/>
                              <w:textAlignment w:val="baseline"/>
                              <w:rPr>
                                <w:rFonts w:ascii="Times" w:eastAsia="Batang" w:hAnsi="Times" w:cs="Times"/>
                                <w:lang w:val="en-GB" w:eastAsia="en-GB"/>
                              </w:rPr>
                            </w:pPr>
                            <w:bookmarkStart w:id="4" w:name="_Hlk89917254"/>
                            <w:r w:rsidRPr="008162FB">
                              <w:rPr>
                                <w:rFonts w:ascii="Times" w:eastAsia="Batang" w:hAnsi="Times" w:cs="Times"/>
                                <w:iCs/>
                                <w:lang w:val="en-GB" w:eastAsia="en-GB"/>
                              </w:rPr>
                              <w:t>Study and specify enhanced sidelink operation on FR2 licensed spectrum [RAN1, RAN2, RAN4]</w:t>
                            </w:r>
                            <w:bookmarkEnd w:id="4"/>
                            <w:r w:rsidRPr="008162FB">
                              <w:rPr>
                                <w:rFonts w:ascii="Times" w:eastAsia="Batang" w:hAnsi="Times" w:cs="Times"/>
                                <w:iCs/>
                                <w:lang w:val="en-GB" w:eastAsia="en-GB"/>
                              </w:rPr>
                              <w:t xml:space="preserve"> (Determine in RAN#98-e whether to continue the study or study + specification work for FR2 until the end of R18)</w:t>
                            </w:r>
                          </w:p>
                          <w:p w14:paraId="484FDDE2" w14:textId="77777777" w:rsidR="008162FB" w:rsidRPr="008162FB" w:rsidRDefault="008162FB" w:rsidP="008162FB">
                            <w:pPr>
                              <w:numPr>
                                <w:ilvl w:val="0"/>
                                <w:numId w:val="33"/>
                              </w:numPr>
                              <w:overflowPunct w:val="0"/>
                              <w:autoSpaceDE w:val="0"/>
                              <w:autoSpaceDN w:val="0"/>
                              <w:adjustRightInd w:val="0"/>
                              <w:spacing w:before="60" w:after="60"/>
                              <w:ind w:left="993" w:hanging="284"/>
                              <w:textAlignment w:val="baseline"/>
                              <w:rPr>
                                <w:rFonts w:ascii="Times" w:eastAsia="Batang" w:hAnsi="Times" w:cs="Times"/>
                                <w:highlight w:val="yellow"/>
                                <w:lang w:val="en-GB" w:eastAsia="ko-KR"/>
                              </w:rPr>
                            </w:pPr>
                            <w:bookmarkStart w:id="5" w:name="_Hlk89917271"/>
                            <w:r w:rsidRPr="008162FB">
                              <w:rPr>
                                <w:rFonts w:ascii="Times" w:eastAsia="Batang" w:hAnsi="Times" w:cs="Times"/>
                                <w:highlight w:val="yellow"/>
                                <w:lang w:val="en-GB" w:eastAsia="ko-KR"/>
                              </w:rPr>
                              <w:t>Focus only on updating the evaluation methodology for commercial deployment scenario</w:t>
                            </w:r>
                            <w:bookmarkEnd w:id="5"/>
                            <w:r w:rsidRPr="008162FB">
                              <w:rPr>
                                <w:rFonts w:ascii="Times" w:eastAsia="Batang" w:hAnsi="Times" w:cs="Times"/>
                                <w:highlight w:val="yellow"/>
                                <w:lang w:val="en-GB" w:eastAsia="ko-KR"/>
                              </w:rPr>
                              <w:t xml:space="preserve"> in 4Q 2022. [RAN1]</w:t>
                            </w:r>
                          </w:p>
                          <w:p w14:paraId="3AFFF5ED" w14:textId="77777777" w:rsidR="008162FB" w:rsidRPr="008162FB" w:rsidRDefault="008162FB" w:rsidP="008162FB">
                            <w:pPr>
                              <w:numPr>
                                <w:ilvl w:val="0"/>
                                <w:numId w:val="33"/>
                              </w:numPr>
                              <w:overflowPunct w:val="0"/>
                              <w:autoSpaceDE w:val="0"/>
                              <w:autoSpaceDN w:val="0"/>
                              <w:adjustRightInd w:val="0"/>
                              <w:spacing w:before="60" w:after="60"/>
                              <w:ind w:left="993" w:hanging="284"/>
                              <w:textAlignment w:val="baseline"/>
                              <w:rPr>
                                <w:rFonts w:ascii="Times" w:eastAsia="Batang" w:hAnsi="Times" w:cs="Times"/>
                                <w:lang w:val="en-GB" w:eastAsia="ko-KR"/>
                              </w:rPr>
                            </w:pPr>
                            <w:bookmarkStart w:id="6" w:name="_Hlk89917283"/>
                            <w:r w:rsidRPr="008162FB">
                              <w:rPr>
                                <w:rFonts w:ascii="Times" w:eastAsia="Batang" w:hAnsi="Times" w:cs="Times"/>
                                <w:iCs/>
                                <w:lang w:val="en-GB" w:eastAsia="ko-KR"/>
                              </w:rPr>
                              <w:t>Work is limited to the support of sidelink beam management (including initial beam-pairing, beam maintenance, and beam failure recovery, etc) by reusing existing sidelink CSI framework and reusing Uu beam management concepts wherever possible.</w:t>
                            </w:r>
                            <w:bookmarkEnd w:id="6"/>
                          </w:p>
                          <w:p w14:paraId="3A838078" w14:textId="5CB5C968" w:rsidR="003A421C" w:rsidRPr="008162FB" w:rsidRDefault="008162FB" w:rsidP="008162FB">
                            <w:pPr>
                              <w:numPr>
                                <w:ilvl w:val="1"/>
                                <w:numId w:val="33"/>
                              </w:numPr>
                              <w:overflowPunct w:val="0"/>
                              <w:autoSpaceDE w:val="0"/>
                              <w:autoSpaceDN w:val="0"/>
                              <w:adjustRightInd w:val="0"/>
                              <w:spacing w:before="60" w:after="60"/>
                              <w:textAlignment w:val="baseline"/>
                              <w:rPr>
                                <w:rFonts w:ascii="Times" w:eastAsia="Batang" w:hAnsi="Times" w:cs="Times"/>
                                <w:lang w:val="en-GB" w:eastAsia="ko-KR"/>
                              </w:rPr>
                            </w:pPr>
                            <w:bookmarkStart w:id="7" w:name="_Hlk89917309"/>
                            <w:r w:rsidRPr="008162FB">
                              <w:rPr>
                                <w:rFonts w:ascii="Times" w:eastAsia="Batang" w:hAnsi="Times" w:cs="Times"/>
                                <w:lang w:val="en-GB" w:eastAsia="ko-KR"/>
                              </w:rPr>
                              <w:t>Beam management in FR2 licensed spectrum considers sidelink unicast communication only.</w:t>
                            </w:r>
                            <w:bookmarkEnd w:id="7"/>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1FC86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2119A0F" w14:textId="11625ADE" w:rsidR="008162FB" w:rsidRPr="008162FB" w:rsidRDefault="008162FB" w:rsidP="008162FB">
                      <w:pPr>
                        <w:pStyle w:val="ListParagraph"/>
                        <w:numPr>
                          <w:ilvl w:val="0"/>
                          <w:numId w:val="45"/>
                        </w:numPr>
                        <w:overflowPunct w:val="0"/>
                        <w:autoSpaceDE w:val="0"/>
                        <w:autoSpaceDN w:val="0"/>
                        <w:adjustRightInd w:val="0"/>
                        <w:spacing w:before="120" w:after="0"/>
                        <w:textAlignment w:val="baseline"/>
                        <w:rPr>
                          <w:rFonts w:ascii="Times" w:eastAsia="Batang" w:hAnsi="Times" w:cs="Times"/>
                          <w:lang w:val="en-GB" w:eastAsia="en-GB"/>
                        </w:rPr>
                      </w:pPr>
                      <w:bookmarkStart w:id="7" w:name="_Hlk89917254"/>
                      <w:r w:rsidRPr="008162FB">
                        <w:rPr>
                          <w:rFonts w:ascii="Times" w:eastAsia="Batang" w:hAnsi="Times" w:cs="Times"/>
                          <w:iCs/>
                          <w:lang w:val="en-GB" w:eastAsia="en-GB"/>
                        </w:rPr>
                        <w:t>Study and specify enhanced sidelink operation on FR2 licensed spectrum [RAN1, RAN2, RAN4]</w:t>
                      </w:r>
                      <w:bookmarkEnd w:id="7"/>
                      <w:r w:rsidRPr="008162FB">
                        <w:rPr>
                          <w:rFonts w:ascii="Times" w:eastAsia="Batang" w:hAnsi="Times" w:cs="Times"/>
                          <w:iCs/>
                          <w:lang w:val="en-GB" w:eastAsia="en-GB"/>
                        </w:rPr>
                        <w:t xml:space="preserve"> (Determine in RAN#98-e whether to continue the study or study + specification work for FR2 until the end of R18)</w:t>
                      </w:r>
                    </w:p>
                    <w:p w14:paraId="484FDDE2" w14:textId="77777777" w:rsidR="008162FB" w:rsidRPr="008162FB" w:rsidRDefault="008162FB" w:rsidP="008162FB">
                      <w:pPr>
                        <w:numPr>
                          <w:ilvl w:val="0"/>
                          <w:numId w:val="33"/>
                        </w:numPr>
                        <w:overflowPunct w:val="0"/>
                        <w:autoSpaceDE w:val="0"/>
                        <w:autoSpaceDN w:val="0"/>
                        <w:adjustRightInd w:val="0"/>
                        <w:spacing w:before="60" w:after="60"/>
                        <w:ind w:left="993" w:hanging="284"/>
                        <w:textAlignment w:val="baseline"/>
                        <w:rPr>
                          <w:rFonts w:ascii="Times" w:eastAsia="Batang" w:hAnsi="Times" w:cs="Times"/>
                          <w:highlight w:val="yellow"/>
                          <w:lang w:val="en-GB" w:eastAsia="ko-KR"/>
                        </w:rPr>
                      </w:pPr>
                      <w:bookmarkStart w:id="8" w:name="_Hlk89917271"/>
                      <w:r w:rsidRPr="008162FB">
                        <w:rPr>
                          <w:rFonts w:ascii="Times" w:eastAsia="Batang" w:hAnsi="Times" w:cs="Times"/>
                          <w:highlight w:val="yellow"/>
                          <w:lang w:val="en-GB" w:eastAsia="ko-KR"/>
                        </w:rPr>
                        <w:t>Focus only on updating the evaluation methodology for commercial deployment scenario</w:t>
                      </w:r>
                      <w:bookmarkEnd w:id="8"/>
                      <w:r w:rsidRPr="008162FB">
                        <w:rPr>
                          <w:rFonts w:ascii="Times" w:eastAsia="Batang" w:hAnsi="Times" w:cs="Times"/>
                          <w:highlight w:val="yellow"/>
                          <w:lang w:val="en-GB" w:eastAsia="ko-KR"/>
                        </w:rPr>
                        <w:t xml:space="preserve"> in 4Q 2022. [RAN1]</w:t>
                      </w:r>
                    </w:p>
                    <w:p w14:paraId="3AFFF5ED" w14:textId="77777777" w:rsidR="008162FB" w:rsidRPr="008162FB" w:rsidRDefault="008162FB" w:rsidP="008162FB">
                      <w:pPr>
                        <w:numPr>
                          <w:ilvl w:val="0"/>
                          <w:numId w:val="33"/>
                        </w:numPr>
                        <w:overflowPunct w:val="0"/>
                        <w:autoSpaceDE w:val="0"/>
                        <w:autoSpaceDN w:val="0"/>
                        <w:adjustRightInd w:val="0"/>
                        <w:spacing w:before="60" w:after="60"/>
                        <w:ind w:left="993" w:hanging="284"/>
                        <w:textAlignment w:val="baseline"/>
                        <w:rPr>
                          <w:rFonts w:ascii="Times" w:eastAsia="Batang" w:hAnsi="Times" w:cs="Times"/>
                          <w:lang w:val="en-GB" w:eastAsia="ko-KR"/>
                        </w:rPr>
                      </w:pPr>
                      <w:bookmarkStart w:id="9" w:name="_Hlk89917283"/>
                      <w:r w:rsidRPr="008162FB">
                        <w:rPr>
                          <w:rFonts w:ascii="Times" w:eastAsia="Batang" w:hAnsi="Times" w:cs="Times"/>
                          <w:iCs/>
                          <w:lang w:val="en-GB" w:eastAsia="ko-KR"/>
                        </w:rPr>
                        <w:t>Work is limited to the support of sidelink beam management (including initial beam-pairing, beam maintenance, and beam failure recovery, etc) by reusing existing sidelink CSI framework and reusing Uu beam management concepts wherever possible.</w:t>
                      </w:r>
                      <w:bookmarkEnd w:id="9"/>
                    </w:p>
                    <w:p w14:paraId="3A838078" w14:textId="5CB5C968" w:rsidR="003A421C" w:rsidRPr="008162FB" w:rsidRDefault="008162FB" w:rsidP="008162FB">
                      <w:pPr>
                        <w:numPr>
                          <w:ilvl w:val="1"/>
                          <w:numId w:val="33"/>
                        </w:numPr>
                        <w:overflowPunct w:val="0"/>
                        <w:autoSpaceDE w:val="0"/>
                        <w:autoSpaceDN w:val="0"/>
                        <w:adjustRightInd w:val="0"/>
                        <w:spacing w:before="60" w:after="60"/>
                        <w:textAlignment w:val="baseline"/>
                        <w:rPr>
                          <w:rFonts w:ascii="Times" w:eastAsia="Batang" w:hAnsi="Times" w:cs="Times"/>
                          <w:lang w:val="en-GB" w:eastAsia="ko-KR"/>
                        </w:rPr>
                      </w:pPr>
                      <w:bookmarkStart w:id="10" w:name="_Hlk89917309"/>
                      <w:r w:rsidRPr="008162FB">
                        <w:rPr>
                          <w:rFonts w:ascii="Times" w:eastAsia="Batang" w:hAnsi="Times" w:cs="Times"/>
                          <w:lang w:val="en-GB" w:eastAsia="ko-KR"/>
                        </w:rPr>
                        <w:t>Beam management in FR2 licensed spectrum considers sidelink unicast communication only.</w:t>
                      </w:r>
                      <w:bookmarkEnd w:id="10"/>
                    </w:p>
                  </w:txbxContent>
                </v:textbox>
                <w10:wrap type="square"/>
              </v:shape>
            </w:pict>
          </mc:Fallback>
        </mc:AlternateContent>
      </w:r>
      <w:r w:rsidR="00ED74F5">
        <w:rPr>
          <w:lang w:eastAsia="ko-KR"/>
        </w:rPr>
        <w:t xml:space="preserve"> </w:t>
      </w:r>
    </w:p>
    <w:p w14:paraId="40499045" w14:textId="1CB8FCF6"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8162FB">
        <w:rPr>
          <w:lang w:eastAsia="ko-KR"/>
        </w:rPr>
        <w:t>the evaluation methodology for commercial deployment scenarios in SL FR2</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7CDBCC15" w14:textId="473A6746" w:rsidR="00813016" w:rsidRDefault="00201D56" w:rsidP="00813016">
      <w:pPr>
        <w:rPr>
          <w:lang w:val="en-GB" w:eastAsia="ko-KR"/>
        </w:rPr>
      </w:pPr>
      <w:r>
        <w:rPr>
          <w:lang w:val="en-GB" w:eastAsia="ko-KR"/>
        </w:rPr>
        <w:t>The following aspect of the evaluation methodology are considered in this document:</w:t>
      </w:r>
    </w:p>
    <w:p w14:paraId="2698B336" w14:textId="06765EFB" w:rsidR="00201D56" w:rsidRDefault="00201D56" w:rsidP="00201D56">
      <w:pPr>
        <w:pStyle w:val="ListParagraph"/>
        <w:numPr>
          <w:ilvl w:val="0"/>
          <w:numId w:val="46"/>
        </w:numPr>
        <w:rPr>
          <w:lang w:eastAsia="ko-KR"/>
        </w:rPr>
      </w:pPr>
      <w:r>
        <w:rPr>
          <w:lang w:eastAsia="ko-KR"/>
        </w:rPr>
        <w:t>Reference system deployments, including carrier frequency, layout, UE dropping, antenna models, etc.</w:t>
      </w:r>
    </w:p>
    <w:p w14:paraId="062689D8" w14:textId="66F307EE" w:rsidR="00201D56" w:rsidRDefault="00201D56" w:rsidP="00201D56">
      <w:pPr>
        <w:pStyle w:val="ListParagraph"/>
        <w:numPr>
          <w:ilvl w:val="0"/>
          <w:numId w:val="46"/>
        </w:numPr>
        <w:rPr>
          <w:lang w:eastAsia="ko-KR"/>
        </w:rPr>
      </w:pPr>
      <w:r>
        <w:rPr>
          <w:lang w:eastAsia="ko-KR"/>
        </w:rPr>
        <w:t>Channel model</w:t>
      </w:r>
    </w:p>
    <w:p w14:paraId="600D9DFB" w14:textId="711BBEF1" w:rsidR="00201D56" w:rsidRDefault="00201D56" w:rsidP="00201D56">
      <w:pPr>
        <w:pStyle w:val="ListParagraph"/>
        <w:numPr>
          <w:ilvl w:val="0"/>
          <w:numId w:val="46"/>
        </w:numPr>
        <w:rPr>
          <w:lang w:eastAsia="ko-KR"/>
        </w:rPr>
      </w:pPr>
      <w:r>
        <w:rPr>
          <w:lang w:eastAsia="ko-KR"/>
        </w:rPr>
        <w:t>Traffic model</w:t>
      </w:r>
    </w:p>
    <w:p w14:paraId="50791E82" w14:textId="3E03E5F7" w:rsidR="00201D56" w:rsidRDefault="00201D56" w:rsidP="00201D56">
      <w:pPr>
        <w:pStyle w:val="ListParagraph"/>
        <w:numPr>
          <w:ilvl w:val="0"/>
          <w:numId w:val="46"/>
        </w:numPr>
        <w:rPr>
          <w:lang w:eastAsia="ko-KR"/>
        </w:rPr>
      </w:pPr>
      <w:r>
        <w:rPr>
          <w:lang w:eastAsia="ko-KR"/>
        </w:rPr>
        <w:t>Evaluation metrics</w:t>
      </w:r>
    </w:p>
    <w:p w14:paraId="3699FBB0" w14:textId="247B36B4" w:rsidR="00201D56" w:rsidRDefault="00CC0979" w:rsidP="00CC0979">
      <w:pPr>
        <w:pStyle w:val="Heading2"/>
        <w:rPr>
          <w:lang w:eastAsia="ko-KR"/>
        </w:rPr>
      </w:pPr>
      <w:r>
        <w:rPr>
          <w:lang w:eastAsia="ko-KR"/>
        </w:rPr>
        <w:t>Reference system deployments</w:t>
      </w:r>
    </w:p>
    <w:p w14:paraId="0C60CED0" w14:textId="14F5FF2E" w:rsidR="00CC0979" w:rsidRDefault="00CC0979" w:rsidP="00CC0979">
      <w:pPr>
        <w:rPr>
          <w:lang w:val="en-GB" w:eastAsia="ko-KR"/>
        </w:rPr>
      </w:pPr>
      <w:r>
        <w:rPr>
          <w:lang w:val="en-GB" w:eastAsia="ko-KR"/>
        </w:rPr>
        <w:t>The starting point of reference system deployment is descri</w:t>
      </w:r>
      <w:r w:rsidR="009E4253">
        <w:rPr>
          <w:lang w:val="en-GB" w:eastAsia="ko-KR"/>
        </w:rPr>
        <w:t>bed</w:t>
      </w:r>
      <w:r>
        <w:rPr>
          <w:lang w:val="en-GB" w:eastAsia="ko-KR"/>
        </w:rPr>
        <w:t xml:space="preserve"> in clause A.2.1.1 of TR 36.843 </w:t>
      </w:r>
      <w:r>
        <w:rPr>
          <w:lang w:val="en-GB" w:eastAsia="ko-KR"/>
        </w:rPr>
        <w:fldChar w:fldCharType="begin"/>
      </w:r>
      <w:r>
        <w:rPr>
          <w:lang w:val="en-GB" w:eastAsia="ko-KR"/>
        </w:rPr>
        <w:instrText xml:space="preserve"> REF _Ref114757316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 As the focus of the study is FR2, it is proposed that the carrier frequency used in the evaluation is 30 GHz.</w:t>
      </w:r>
    </w:p>
    <w:p w14:paraId="25EE5296" w14:textId="229C4C16" w:rsidR="00CC0979" w:rsidRPr="00CC0979" w:rsidRDefault="00CC0979" w:rsidP="00CC0979">
      <w:pPr>
        <w:rPr>
          <w:b/>
          <w:i/>
          <w:lang w:val="en-GB" w:eastAsia="ko-KR"/>
        </w:rPr>
      </w:pPr>
      <w:r w:rsidRPr="00CC0979">
        <w:rPr>
          <w:b/>
          <w:i/>
          <w:lang w:val="en-GB" w:eastAsia="ko-KR"/>
        </w:rPr>
        <w:t>Proposal 1: For evaluation of commercial deployment</w:t>
      </w:r>
      <w:r w:rsidR="009E4253">
        <w:rPr>
          <w:b/>
          <w:i/>
          <w:lang w:val="en-GB" w:eastAsia="ko-KR"/>
        </w:rPr>
        <w:t>s</w:t>
      </w:r>
      <w:r w:rsidRPr="00CC0979">
        <w:rPr>
          <w:b/>
          <w:i/>
          <w:lang w:val="en-GB" w:eastAsia="ko-KR"/>
        </w:rPr>
        <w:t xml:space="preserve"> in SL FR2, the carrier frequency is 30 GHz.</w:t>
      </w:r>
    </w:p>
    <w:p w14:paraId="0583D683" w14:textId="085C7B9A" w:rsidR="00CC0979" w:rsidRDefault="006B0F66" w:rsidP="00CC0979">
      <w:pPr>
        <w:rPr>
          <w:lang w:val="en-GB" w:eastAsia="ko-KR"/>
        </w:rPr>
      </w:pPr>
      <w:r>
        <w:rPr>
          <w:lang w:val="en-GB" w:eastAsia="ko-KR"/>
        </w:rPr>
        <w:t>The system bandwidth can be 100 MHz</w:t>
      </w:r>
      <w:r w:rsidR="005F6D38">
        <w:rPr>
          <w:lang w:val="en-GB" w:eastAsia="ko-KR"/>
        </w:rPr>
        <w:t xml:space="preserve"> for 60 kHz sub-carrier spacing</w:t>
      </w:r>
      <w:r>
        <w:rPr>
          <w:lang w:val="en-GB" w:eastAsia="ko-KR"/>
        </w:rPr>
        <w:t xml:space="preserve"> or 400 </w:t>
      </w:r>
      <w:r w:rsidR="005F6D38">
        <w:rPr>
          <w:lang w:val="en-GB" w:eastAsia="ko-KR"/>
        </w:rPr>
        <w:t>MHz for 120 kHz sub-carrier spacing.</w:t>
      </w:r>
    </w:p>
    <w:p w14:paraId="7ADA6497" w14:textId="0DB30452" w:rsidR="006B0F66" w:rsidRDefault="005F6D38" w:rsidP="00CC0979">
      <w:pPr>
        <w:rPr>
          <w:b/>
          <w:i/>
          <w:lang w:val="en-GB" w:eastAsia="ko-KR"/>
        </w:rPr>
      </w:pPr>
      <w:r w:rsidRPr="00CC0979">
        <w:rPr>
          <w:b/>
          <w:i/>
          <w:lang w:val="en-GB" w:eastAsia="ko-KR"/>
        </w:rPr>
        <w:t xml:space="preserve">Proposal </w:t>
      </w:r>
      <w:r>
        <w:rPr>
          <w:b/>
          <w:i/>
          <w:lang w:val="en-GB" w:eastAsia="ko-KR"/>
        </w:rPr>
        <w:t>2</w:t>
      </w:r>
      <w:r w:rsidRPr="00CC0979">
        <w:rPr>
          <w:b/>
          <w:i/>
          <w:lang w:val="en-GB" w:eastAsia="ko-KR"/>
        </w:rPr>
        <w:t>: For evaluation of commercial deployment</w:t>
      </w:r>
      <w:r w:rsidR="009E4253">
        <w:rPr>
          <w:b/>
          <w:i/>
          <w:lang w:val="en-GB" w:eastAsia="ko-KR"/>
        </w:rPr>
        <w:t>s</w:t>
      </w:r>
      <w:r w:rsidRPr="00CC0979">
        <w:rPr>
          <w:b/>
          <w:i/>
          <w:lang w:val="en-GB" w:eastAsia="ko-KR"/>
        </w:rPr>
        <w:t xml:space="preserve"> in SL FR2,</w:t>
      </w:r>
      <w:r>
        <w:rPr>
          <w:b/>
          <w:i/>
          <w:lang w:val="en-GB" w:eastAsia="ko-KR"/>
        </w:rPr>
        <w:t xml:space="preserve"> evaluate the following system bandwidth options 100 MHz at 60 kHz SCS and 400 MHz at 120 kHz SCS.</w:t>
      </w:r>
    </w:p>
    <w:p w14:paraId="34A65DCD" w14:textId="62FA84B2" w:rsidR="00EE7249" w:rsidRDefault="009E4253" w:rsidP="00CC0979">
      <w:pPr>
        <w:rPr>
          <w:lang w:val="en-GB" w:eastAsia="ko-KR"/>
        </w:rPr>
      </w:pPr>
      <w:r>
        <w:rPr>
          <w:lang w:val="en-GB" w:eastAsia="ko-KR"/>
        </w:rPr>
        <w:t xml:space="preserve">The system layout as described in TR 36.843 </w:t>
      </w:r>
      <w:r>
        <w:rPr>
          <w:lang w:val="en-GB" w:eastAsia="ko-KR"/>
        </w:rPr>
        <w:fldChar w:fldCharType="begin"/>
      </w:r>
      <w:r>
        <w:rPr>
          <w:lang w:val="en-GB" w:eastAsia="ko-KR"/>
        </w:rPr>
        <w:instrText xml:space="preserve"> REF _Ref114757316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 xml:space="preserve"> uses a hexagonal grid with 3 sectors per macro site using the 7 macro sites option with wrap around. Option 3, i.e., urban macro with 500m ISD and all UEs outdoor is used for the evaluations.</w:t>
      </w:r>
    </w:p>
    <w:p w14:paraId="2789E69C" w14:textId="44F77C16" w:rsidR="009E4253" w:rsidRPr="009E4253" w:rsidRDefault="009E4253" w:rsidP="00CC0979">
      <w:pPr>
        <w:rPr>
          <w:b/>
          <w:i/>
          <w:lang w:val="en-GB" w:eastAsia="ko-KR"/>
        </w:rPr>
      </w:pPr>
      <w:r w:rsidRPr="009E4253">
        <w:rPr>
          <w:b/>
          <w:i/>
          <w:lang w:val="en-GB" w:eastAsia="ko-KR"/>
        </w:rPr>
        <w:t>Proposal 3: For evaluation of commercial deployments in SL FR2, use a hexagonal grid with 7 macro sites and 3 sectors per macro site with wrap around. The ISD is 500m with all UEs outdoor.</w:t>
      </w:r>
    </w:p>
    <w:p w14:paraId="1934EF45" w14:textId="63AC5BAE" w:rsidR="00CC0979" w:rsidRDefault="009A6B8C" w:rsidP="00CC0979">
      <w:pPr>
        <w:rPr>
          <w:lang w:val="en-GB" w:eastAsia="ko-KR"/>
        </w:rPr>
      </w:pPr>
      <w:r>
        <w:rPr>
          <w:lang w:val="en-GB" w:eastAsia="ko-KR"/>
        </w:rPr>
        <w:lastRenderedPageBreak/>
        <w:t xml:space="preserve">There are a total of 150 UEs per cell. </w:t>
      </w:r>
      <w:r w:rsidR="009E4253">
        <w:rPr>
          <w:lang w:val="en-GB" w:eastAsia="ko-KR"/>
        </w:rPr>
        <w:t>The UE</w:t>
      </w:r>
      <w:r>
        <w:rPr>
          <w:lang w:val="en-GB" w:eastAsia="ko-KR"/>
        </w:rPr>
        <w:t>s</w:t>
      </w:r>
      <w:r w:rsidR="009E4253">
        <w:rPr>
          <w:lang w:val="en-GB" w:eastAsia="ko-KR"/>
        </w:rPr>
        <w:t xml:space="preserve"> are drop randomly and uniformly throughout the </w:t>
      </w:r>
      <w:r>
        <w:rPr>
          <w:lang w:val="en-GB" w:eastAsia="ko-KR"/>
        </w:rPr>
        <w:t>simulated geographical area</w:t>
      </w:r>
      <w:r w:rsidR="009E4253">
        <w:rPr>
          <w:lang w:val="en-GB" w:eastAsia="ko-KR"/>
        </w:rPr>
        <w:t>.</w:t>
      </w:r>
      <w:r>
        <w:rPr>
          <w:lang w:val="en-GB" w:eastAsia="ko-KR"/>
        </w:rPr>
        <w:t xml:space="preserve"> UEs have a speed of 3 km/hr and a maximum transmit power of 23 dBm</w:t>
      </w:r>
      <w:r w:rsidR="00217F5A">
        <w:rPr>
          <w:lang w:val="en-GB" w:eastAsia="ko-KR"/>
        </w:rPr>
        <w:t xml:space="preserve">. UEs communicate using unicast with each other. To pair the UEs for unicast communication follow the procedure described in section A.2.1.1.1 of TR 38.843. Number of unicast links should not be less than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u</m:t>
            </m:r>
          </m:sub>
        </m:sSub>
      </m:oMath>
      <w:r w:rsidR="00217F5A">
        <w:rPr>
          <w:lang w:val="en-GB" w:eastAsia="ko-KR"/>
        </w:rPr>
        <w:t xml:space="preserve"> per sector companies to report value of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u</m:t>
            </m:r>
          </m:sub>
        </m:sSub>
      </m:oMath>
      <w:r w:rsidR="00217F5A">
        <w:rPr>
          <w:lang w:val="en-GB" w:eastAsia="ko-KR"/>
        </w:rPr>
        <w:t xml:space="preserve"> in the evaluation.</w:t>
      </w:r>
    </w:p>
    <w:p w14:paraId="15340417" w14:textId="3A47F1BA" w:rsidR="009A6B8C" w:rsidRPr="009A6B8C" w:rsidRDefault="009A6B8C" w:rsidP="00CC0979">
      <w:pPr>
        <w:rPr>
          <w:b/>
          <w:i/>
          <w:lang w:val="en-GB" w:eastAsia="ko-KR"/>
        </w:rPr>
      </w:pPr>
      <w:r w:rsidRPr="009A6B8C">
        <w:rPr>
          <w:b/>
          <w:i/>
          <w:lang w:val="en-GB" w:eastAsia="ko-KR"/>
        </w:rPr>
        <w:t>Proposal 4: For evaluation of commercial deployments in SL FR2, there are a total of 150 UEs per cell. The UEs are drop randomly and uniformly throughout the simulated geographical area.</w:t>
      </w:r>
    </w:p>
    <w:p w14:paraId="109E6CA4" w14:textId="03DD44D2" w:rsidR="009A6B8C" w:rsidRPr="009A6B8C" w:rsidRDefault="009A6B8C" w:rsidP="00CC0979">
      <w:pPr>
        <w:rPr>
          <w:b/>
          <w:i/>
          <w:lang w:val="en-GB" w:eastAsia="ko-KR"/>
        </w:rPr>
      </w:pPr>
      <w:r w:rsidRPr="009A6B8C">
        <w:rPr>
          <w:b/>
          <w:i/>
          <w:lang w:val="en-GB" w:eastAsia="ko-KR"/>
        </w:rPr>
        <w:t>Proposal 5: For evaluation of commercial deployments in SL FR2, UEs have a speed of 3 km/hr.</w:t>
      </w:r>
    </w:p>
    <w:p w14:paraId="5AA5E037" w14:textId="3E9BDDEE" w:rsidR="009A6B8C" w:rsidRPr="009A6B8C" w:rsidRDefault="009A6B8C" w:rsidP="00CC0979">
      <w:pPr>
        <w:rPr>
          <w:b/>
          <w:i/>
          <w:lang w:val="en-GB" w:eastAsia="ko-KR"/>
        </w:rPr>
      </w:pPr>
      <w:r w:rsidRPr="009A6B8C">
        <w:rPr>
          <w:b/>
          <w:i/>
          <w:lang w:val="en-GB" w:eastAsia="ko-KR"/>
        </w:rPr>
        <w:t>Proposal 6: For evaluation of commercial deployments in SL FR2, UEs have a maximum transmit power of 23 dBm.</w:t>
      </w:r>
    </w:p>
    <w:p w14:paraId="7C9DBBC3" w14:textId="59167314" w:rsidR="009A6B8C" w:rsidRDefault="009A6B8C" w:rsidP="00CC0979">
      <w:pPr>
        <w:rPr>
          <w:lang w:val="en-GB" w:eastAsia="ko-KR"/>
        </w:rPr>
      </w:pPr>
      <w:r>
        <w:rPr>
          <w:lang w:val="en-GB" w:eastAsia="ko-KR"/>
        </w:rPr>
        <w:t xml:space="preserve">For antenna model, reuse the antenna element pattern and antenna array configuration of pedestrian and cellular UEs as described in Table 6.1.4-6 and Table 6.1.4-7 of TR 37.885 </w:t>
      </w:r>
      <w:r>
        <w:rPr>
          <w:lang w:val="en-GB" w:eastAsia="ko-KR"/>
        </w:rPr>
        <w:fldChar w:fldCharType="begin"/>
      </w:r>
      <w:r>
        <w:rPr>
          <w:lang w:val="en-GB" w:eastAsia="ko-KR"/>
        </w:rPr>
        <w:instrText xml:space="preserve"> REF _Ref114770852 \r \h </w:instrText>
      </w:r>
      <w:r>
        <w:rPr>
          <w:lang w:val="en-GB" w:eastAsia="ko-KR"/>
        </w:rPr>
      </w:r>
      <w:r>
        <w:rPr>
          <w:lang w:val="en-GB" w:eastAsia="ko-KR"/>
        </w:rPr>
        <w:fldChar w:fldCharType="separate"/>
      </w:r>
      <w:r>
        <w:rPr>
          <w:lang w:val="en-GB" w:eastAsia="ko-KR"/>
        </w:rPr>
        <w:t>[3]</w:t>
      </w:r>
      <w:r>
        <w:rPr>
          <w:lang w:val="en-GB" w:eastAsia="ko-KR"/>
        </w:rPr>
        <w:fldChar w:fldCharType="end"/>
      </w:r>
      <w:r>
        <w:rPr>
          <w:lang w:val="en-GB" w:eastAsia="ko-KR"/>
        </w:rPr>
        <w:t>, and repeated here for convenience.</w:t>
      </w:r>
    </w:p>
    <w:p w14:paraId="0DA982AB" w14:textId="77777777" w:rsidR="003A07E2" w:rsidRDefault="003A07E2" w:rsidP="003A07E2">
      <w:pPr>
        <w:pStyle w:val="TH"/>
        <w:rPr>
          <w:lang w:eastAsia="ko-KR"/>
        </w:rPr>
      </w:pPr>
      <w:r>
        <w:rPr>
          <w:rFonts w:hint="eastAsia"/>
          <w:lang w:eastAsia="ko-KR"/>
        </w:rPr>
        <w:t xml:space="preserve">Table 6.1.4-6: </w:t>
      </w:r>
      <w:r w:rsidRPr="00C14136">
        <w:rPr>
          <w:lang w:eastAsia="ko-KR"/>
        </w:rPr>
        <w:t xml:space="preserve">Antenna element pattern for </w:t>
      </w:r>
      <w:r>
        <w:rPr>
          <w:rFonts w:hint="eastAsia"/>
          <w:lang w:eastAsia="ko-KR"/>
        </w:rPr>
        <w:t xml:space="preserve">pedestrian </w:t>
      </w:r>
      <w:r w:rsidRPr="00C14136">
        <w:rPr>
          <w:lang w:eastAsia="ko-KR"/>
        </w:rPr>
        <w:t>UE</w:t>
      </w:r>
      <w:r>
        <w:rPr>
          <w:rFonts w:hint="eastAsia"/>
          <w:lang w:eastAsia="ko-KR"/>
        </w:rPr>
        <w:t xml:space="preserve"> and cellular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183"/>
        <w:gridCol w:w="6414"/>
      </w:tblGrid>
      <w:tr w:rsidR="003A07E2" w:rsidRPr="000E2BF3" w14:paraId="49DFA102" w14:textId="77777777" w:rsidTr="0025166A">
        <w:trPr>
          <w:trHeight w:val="88"/>
        </w:trPr>
        <w:tc>
          <w:tcPr>
            <w:tcW w:w="1056" w:type="pct"/>
            <w:vMerge w:val="restart"/>
            <w:shd w:val="clear" w:color="auto" w:fill="D9D9D9"/>
          </w:tcPr>
          <w:p w14:paraId="3B069730" w14:textId="77777777" w:rsidR="003A07E2" w:rsidRPr="002F4A0C" w:rsidRDefault="003A07E2" w:rsidP="0025166A">
            <w:pPr>
              <w:pStyle w:val="TAH"/>
            </w:pPr>
          </w:p>
        </w:tc>
        <w:tc>
          <w:tcPr>
            <w:tcW w:w="3944" w:type="pct"/>
            <w:gridSpan w:val="2"/>
            <w:shd w:val="clear" w:color="auto" w:fill="D9D9D9"/>
          </w:tcPr>
          <w:p w14:paraId="06E2E7B4" w14:textId="77777777" w:rsidR="003A07E2" w:rsidRPr="002F4A0C" w:rsidRDefault="003A07E2" w:rsidP="0025166A">
            <w:pPr>
              <w:pStyle w:val="TAH"/>
              <w:rPr>
                <w:lang w:eastAsia="ja-JP"/>
              </w:rPr>
            </w:pPr>
            <w:r w:rsidRPr="002F4A0C">
              <w:rPr>
                <w:lang w:eastAsia="ja-JP"/>
              </w:rPr>
              <w:t>Pedestrian UE</w:t>
            </w:r>
            <w:r>
              <w:rPr>
                <w:lang w:eastAsia="ja-JP"/>
              </w:rPr>
              <w:t xml:space="preserve"> and cellular UE</w:t>
            </w:r>
          </w:p>
        </w:tc>
      </w:tr>
      <w:tr w:rsidR="003A07E2" w:rsidRPr="000E2BF3" w14:paraId="49603FF5" w14:textId="77777777" w:rsidTr="0025166A">
        <w:trPr>
          <w:trHeight w:val="88"/>
        </w:trPr>
        <w:tc>
          <w:tcPr>
            <w:tcW w:w="1056" w:type="pct"/>
            <w:vMerge/>
            <w:shd w:val="clear" w:color="auto" w:fill="D9D9D9"/>
          </w:tcPr>
          <w:p w14:paraId="2330A18B" w14:textId="77777777" w:rsidR="003A07E2" w:rsidRPr="005E4DE0" w:rsidRDefault="003A07E2" w:rsidP="0025166A">
            <w:pPr>
              <w:pStyle w:val="TAH"/>
            </w:pPr>
          </w:p>
        </w:tc>
        <w:tc>
          <w:tcPr>
            <w:tcW w:w="614" w:type="pct"/>
            <w:shd w:val="clear" w:color="auto" w:fill="D9D9D9"/>
          </w:tcPr>
          <w:p w14:paraId="1BB226D8" w14:textId="77777777" w:rsidR="003A07E2" w:rsidRPr="005E4DE0" w:rsidRDefault="003A07E2" w:rsidP="0025166A">
            <w:pPr>
              <w:pStyle w:val="TAH"/>
              <w:rPr>
                <w:lang w:eastAsia="ja-JP"/>
              </w:rPr>
            </w:pPr>
            <w:r w:rsidRPr="005E4DE0">
              <w:rPr>
                <w:lang w:eastAsia="ja-JP"/>
              </w:rPr>
              <w:t>For 6 GHz</w:t>
            </w:r>
          </w:p>
        </w:tc>
        <w:tc>
          <w:tcPr>
            <w:tcW w:w="3330" w:type="pct"/>
            <w:shd w:val="clear" w:color="auto" w:fill="D9D9D9"/>
          </w:tcPr>
          <w:p w14:paraId="1C88DBAD" w14:textId="77777777" w:rsidR="003A07E2" w:rsidRPr="00986143" w:rsidRDefault="003A07E2" w:rsidP="0025166A">
            <w:pPr>
              <w:pStyle w:val="TAH"/>
              <w:rPr>
                <w:rFonts w:eastAsiaTheme="minorEastAsia"/>
                <w:lang w:eastAsia="ko-KR"/>
              </w:rPr>
            </w:pPr>
            <w:r w:rsidRPr="005E4DE0">
              <w:rPr>
                <w:lang w:eastAsia="ja-JP"/>
              </w:rPr>
              <w:t xml:space="preserve">For </w:t>
            </w:r>
            <w:r>
              <w:rPr>
                <w:rFonts w:eastAsiaTheme="minorEastAsia" w:hint="eastAsia"/>
                <w:lang w:eastAsia="ko-KR"/>
              </w:rPr>
              <w:t xml:space="preserve">30 and </w:t>
            </w:r>
            <w:r w:rsidRPr="005E4DE0">
              <w:rPr>
                <w:lang w:eastAsia="ja-JP"/>
              </w:rPr>
              <w:t>63 GHz</w:t>
            </w:r>
          </w:p>
        </w:tc>
      </w:tr>
      <w:tr w:rsidR="003A07E2" w:rsidRPr="000E2BF3" w14:paraId="56401A60" w14:textId="77777777" w:rsidTr="0025166A">
        <w:trPr>
          <w:trHeight w:val="437"/>
        </w:trPr>
        <w:tc>
          <w:tcPr>
            <w:tcW w:w="1056" w:type="pct"/>
            <w:shd w:val="clear" w:color="auto" w:fill="FFFFFF"/>
            <w:vAlign w:val="center"/>
          </w:tcPr>
          <w:p w14:paraId="0C82781E" w14:textId="77777777" w:rsidR="003A07E2" w:rsidRPr="00336518" w:rsidRDefault="003A07E2" w:rsidP="0025166A">
            <w:pPr>
              <w:pStyle w:val="TAL"/>
              <w:rPr>
                <w:rFonts w:eastAsia="SimSun"/>
                <w:color w:val="000000"/>
              </w:rPr>
            </w:pPr>
            <w:r w:rsidRPr="00E41639">
              <w:rPr>
                <w:lang w:eastAsia="en-GB"/>
              </w:rPr>
              <w:t>Antenna element gain vertical pattern</w:t>
            </w:r>
          </w:p>
        </w:tc>
        <w:tc>
          <w:tcPr>
            <w:tcW w:w="614" w:type="pct"/>
            <w:vMerge w:val="restart"/>
            <w:shd w:val="clear" w:color="auto" w:fill="auto"/>
            <w:vAlign w:val="center"/>
          </w:tcPr>
          <w:p w14:paraId="0446CFC6" w14:textId="77777777" w:rsidR="003A07E2" w:rsidRPr="00336518" w:rsidRDefault="003A07E2" w:rsidP="0025166A">
            <w:pPr>
              <w:pStyle w:val="TAL"/>
              <w:rPr>
                <w:lang w:eastAsia="en-GB"/>
              </w:rPr>
            </w:pPr>
            <w:r w:rsidRPr="00336518">
              <w:rPr>
                <w:lang w:eastAsia="en-GB"/>
              </w:rPr>
              <w:t>Omni-directional</w:t>
            </w:r>
          </w:p>
        </w:tc>
        <w:tc>
          <w:tcPr>
            <w:tcW w:w="3330" w:type="pct"/>
            <w:shd w:val="clear" w:color="auto" w:fill="auto"/>
            <w:vAlign w:val="center"/>
          </w:tcPr>
          <w:p w14:paraId="2B9D8D3D" w14:textId="77777777" w:rsidR="003A07E2" w:rsidRPr="00336518" w:rsidRDefault="003A07E2" w:rsidP="0025166A">
            <w:pPr>
              <w:pStyle w:val="TAL"/>
              <w:rPr>
                <w:rFonts w:eastAsia="SimSun"/>
                <w:lang w:eastAsia="ja-JP"/>
              </w:rPr>
            </w:pPr>
            <w:r>
              <w:rPr>
                <w:rFonts w:eastAsia="Batang"/>
                <w:noProof/>
                <w:position w:val="-38"/>
                <w:lang w:val="en-US"/>
              </w:rPr>
              <w:drawing>
                <wp:inline distT="0" distB="0" distL="0" distR="0" wp14:anchorId="1856A288" wp14:editId="4EA5FA7F">
                  <wp:extent cx="3037205" cy="476885"/>
                  <wp:effectExtent l="0" t="0" r="0" b="0"/>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7205" cy="476885"/>
                          </a:xfrm>
                          <a:prstGeom prst="rect">
                            <a:avLst/>
                          </a:prstGeom>
                          <a:noFill/>
                          <a:ln>
                            <a:noFill/>
                          </a:ln>
                        </pic:spPr>
                      </pic:pic>
                    </a:graphicData>
                  </a:graphic>
                </wp:inline>
              </w:drawing>
            </w:r>
          </w:p>
        </w:tc>
      </w:tr>
      <w:tr w:rsidR="003A07E2" w:rsidRPr="000E2BF3" w14:paraId="5CE3B6B0" w14:textId="77777777" w:rsidTr="0025166A">
        <w:trPr>
          <w:trHeight w:val="405"/>
        </w:trPr>
        <w:tc>
          <w:tcPr>
            <w:tcW w:w="1056" w:type="pct"/>
            <w:shd w:val="clear" w:color="auto" w:fill="FFFFFF"/>
            <w:vAlign w:val="center"/>
          </w:tcPr>
          <w:p w14:paraId="7440BE12" w14:textId="77777777" w:rsidR="003A07E2" w:rsidRPr="00336518" w:rsidRDefault="003A07E2" w:rsidP="0025166A">
            <w:pPr>
              <w:pStyle w:val="TAL"/>
              <w:rPr>
                <w:lang w:eastAsia="en-GB"/>
              </w:rPr>
            </w:pPr>
            <w:r w:rsidRPr="00E41639">
              <w:rPr>
                <w:lang w:eastAsia="en-GB"/>
              </w:rPr>
              <w:t>Antenna element gain horizontal pattern</w:t>
            </w:r>
          </w:p>
        </w:tc>
        <w:tc>
          <w:tcPr>
            <w:tcW w:w="614" w:type="pct"/>
            <w:vMerge/>
            <w:shd w:val="clear" w:color="auto" w:fill="auto"/>
            <w:vAlign w:val="center"/>
          </w:tcPr>
          <w:p w14:paraId="72C8B9A3" w14:textId="77777777" w:rsidR="003A07E2" w:rsidRPr="005E4DE0" w:rsidRDefault="003A07E2" w:rsidP="0025166A">
            <w:pPr>
              <w:pStyle w:val="TAL"/>
              <w:rPr>
                <w:lang w:eastAsia="en-GB"/>
              </w:rPr>
            </w:pPr>
          </w:p>
        </w:tc>
        <w:tc>
          <w:tcPr>
            <w:tcW w:w="3330" w:type="pct"/>
            <w:shd w:val="clear" w:color="auto" w:fill="auto"/>
            <w:vAlign w:val="center"/>
          </w:tcPr>
          <w:p w14:paraId="1986A139" w14:textId="77777777" w:rsidR="003A07E2" w:rsidRPr="00336518" w:rsidRDefault="003A07E2" w:rsidP="0025166A">
            <w:pPr>
              <w:pStyle w:val="TAL"/>
              <w:rPr>
                <w:rFonts w:eastAsia="SimSun"/>
                <w:lang w:eastAsia="ja-JP"/>
              </w:rPr>
            </w:pPr>
            <w:r>
              <w:rPr>
                <w:rFonts w:eastAsia="Batang"/>
                <w:noProof/>
                <w:position w:val="-38"/>
                <w:lang w:val="en-US"/>
              </w:rPr>
              <w:drawing>
                <wp:inline distT="0" distB="0" distL="0" distR="0" wp14:anchorId="5087B1BA" wp14:editId="00BA1360">
                  <wp:extent cx="3068955" cy="476885"/>
                  <wp:effectExtent l="0" t="0" r="0" b="0"/>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8955" cy="476885"/>
                          </a:xfrm>
                          <a:prstGeom prst="rect">
                            <a:avLst/>
                          </a:prstGeom>
                          <a:noFill/>
                          <a:ln>
                            <a:noFill/>
                          </a:ln>
                        </pic:spPr>
                      </pic:pic>
                    </a:graphicData>
                  </a:graphic>
                </wp:inline>
              </w:drawing>
            </w:r>
          </w:p>
        </w:tc>
      </w:tr>
      <w:tr w:rsidR="003A07E2" w:rsidRPr="000E2BF3" w14:paraId="6E3D8EED" w14:textId="77777777" w:rsidTr="0025166A">
        <w:trPr>
          <w:trHeight w:val="189"/>
        </w:trPr>
        <w:tc>
          <w:tcPr>
            <w:tcW w:w="1056" w:type="pct"/>
            <w:shd w:val="clear" w:color="auto" w:fill="FFFFFF"/>
            <w:vAlign w:val="center"/>
          </w:tcPr>
          <w:p w14:paraId="26E45382" w14:textId="77777777" w:rsidR="003A07E2" w:rsidRPr="00336518" w:rsidRDefault="003A07E2" w:rsidP="0025166A">
            <w:pPr>
              <w:pStyle w:val="TAL"/>
              <w:rPr>
                <w:lang w:eastAsia="en-GB"/>
              </w:rPr>
            </w:pPr>
            <w:r w:rsidRPr="00E41639">
              <w:rPr>
                <w:lang w:eastAsia="en-GB"/>
              </w:rPr>
              <w:t xml:space="preserve">Pattern combining method for 3D </w:t>
            </w:r>
          </w:p>
        </w:tc>
        <w:tc>
          <w:tcPr>
            <w:tcW w:w="614" w:type="pct"/>
            <w:vMerge/>
            <w:shd w:val="clear" w:color="auto" w:fill="auto"/>
            <w:vAlign w:val="center"/>
          </w:tcPr>
          <w:p w14:paraId="20646657" w14:textId="77777777" w:rsidR="003A07E2" w:rsidRPr="005E4DE0" w:rsidRDefault="003A07E2" w:rsidP="0025166A">
            <w:pPr>
              <w:pStyle w:val="TAL"/>
              <w:rPr>
                <w:lang w:eastAsia="en-GB"/>
              </w:rPr>
            </w:pPr>
          </w:p>
        </w:tc>
        <w:tc>
          <w:tcPr>
            <w:tcW w:w="3330" w:type="pct"/>
            <w:shd w:val="clear" w:color="auto" w:fill="auto"/>
            <w:vAlign w:val="center"/>
          </w:tcPr>
          <w:p w14:paraId="46B6CF5A" w14:textId="77777777" w:rsidR="003A07E2" w:rsidRPr="00336518" w:rsidRDefault="003A07E2" w:rsidP="0025166A">
            <w:pPr>
              <w:pStyle w:val="TAL"/>
              <w:rPr>
                <w:rFonts w:eastAsia="SimSun"/>
                <w:lang w:eastAsia="ja-JP"/>
              </w:rPr>
            </w:pPr>
            <w:r>
              <w:rPr>
                <w:rFonts w:eastAsia="Batang"/>
                <w:noProof/>
                <w:lang w:val="en-US"/>
              </w:rPr>
              <w:drawing>
                <wp:inline distT="0" distB="0" distL="0" distR="0" wp14:anchorId="7D860571" wp14:editId="198BA967">
                  <wp:extent cx="2767330" cy="262255"/>
                  <wp:effectExtent l="0" t="0" r="0" b="4445"/>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7330" cy="262255"/>
                          </a:xfrm>
                          <a:prstGeom prst="rect">
                            <a:avLst/>
                          </a:prstGeom>
                          <a:noFill/>
                          <a:ln>
                            <a:noFill/>
                          </a:ln>
                        </pic:spPr>
                      </pic:pic>
                    </a:graphicData>
                  </a:graphic>
                </wp:inline>
              </w:drawing>
            </w:r>
          </w:p>
        </w:tc>
      </w:tr>
      <w:tr w:rsidR="003A07E2" w:rsidRPr="000E2BF3" w14:paraId="6A511CE4" w14:textId="77777777" w:rsidTr="0025166A">
        <w:trPr>
          <w:trHeight w:val="58"/>
        </w:trPr>
        <w:tc>
          <w:tcPr>
            <w:tcW w:w="1056" w:type="pct"/>
            <w:shd w:val="clear" w:color="auto" w:fill="FFFFFF"/>
            <w:vAlign w:val="center"/>
          </w:tcPr>
          <w:p w14:paraId="4AA11521" w14:textId="77777777" w:rsidR="003A07E2" w:rsidRPr="00336518" w:rsidRDefault="003A07E2" w:rsidP="0025166A">
            <w:pPr>
              <w:pStyle w:val="TAL"/>
              <w:rPr>
                <w:lang w:eastAsia="en-GB"/>
              </w:rPr>
            </w:pPr>
            <w:r w:rsidRPr="00E41639">
              <w:rPr>
                <w:lang w:eastAsia="en-GB"/>
              </w:rPr>
              <w:t>Max direct. gain of the antenna element</w:t>
            </w:r>
          </w:p>
        </w:tc>
        <w:tc>
          <w:tcPr>
            <w:tcW w:w="614" w:type="pct"/>
            <w:shd w:val="clear" w:color="auto" w:fill="auto"/>
            <w:vAlign w:val="center"/>
          </w:tcPr>
          <w:p w14:paraId="20B476B8" w14:textId="77777777" w:rsidR="003A07E2" w:rsidRPr="00336518" w:rsidRDefault="003A07E2" w:rsidP="0025166A">
            <w:pPr>
              <w:pStyle w:val="TAL"/>
              <w:rPr>
                <w:lang w:eastAsia="en-GB"/>
              </w:rPr>
            </w:pPr>
            <w:r w:rsidRPr="00336518">
              <w:rPr>
                <w:lang w:eastAsia="en-GB"/>
              </w:rPr>
              <w:t>0 dBi</w:t>
            </w:r>
          </w:p>
        </w:tc>
        <w:tc>
          <w:tcPr>
            <w:tcW w:w="3330" w:type="pct"/>
            <w:vAlign w:val="center"/>
          </w:tcPr>
          <w:p w14:paraId="463B419E" w14:textId="77777777" w:rsidR="003A07E2" w:rsidRPr="00336518" w:rsidRDefault="003A07E2" w:rsidP="0025166A">
            <w:pPr>
              <w:pStyle w:val="TAL"/>
              <w:rPr>
                <w:rFonts w:eastAsia="SimSun"/>
                <w:lang w:eastAsia="ja-JP"/>
              </w:rPr>
            </w:pPr>
            <w:r w:rsidRPr="00336518">
              <w:rPr>
                <w:rFonts w:eastAsia="SimSun"/>
                <w:lang w:eastAsia="ja-JP"/>
              </w:rPr>
              <w:t>5 dBi</w:t>
            </w:r>
          </w:p>
        </w:tc>
      </w:tr>
    </w:tbl>
    <w:p w14:paraId="44CE5682" w14:textId="77777777" w:rsidR="003A07E2" w:rsidRDefault="003A07E2" w:rsidP="003A07E2">
      <w:pPr>
        <w:rPr>
          <w:lang w:eastAsia="ko-KR"/>
        </w:rPr>
      </w:pPr>
    </w:p>
    <w:p w14:paraId="3AD9807C" w14:textId="77777777" w:rsidR="003A07E2" w:rsidRPr="005E4DE0" w:rsidRDefault="003A07E2" w:rsidP="003A07E2">
      <w:pPr>
        <w:pStyle w:val="TH"/>
        <w:rPr>
          <w:lang w:eastAsia="ko-KR"/>
        </w:rPr>
      </w:pPr>
      <w:r>
        <w:rPr>
          <w:rFonts w:hint="eastAsia"/>
          <w:lang w:eastAsia="ko-KR"/>
        </w:rPr>
        <w:t xml:space="preserve">Table 6.1.4-7: </w:t>
      </w:r>
      <w:r w:rsidRPr="005E4DE0">
        <w:rPr>
          <w:lang w:eastAsia="ko-KR"/>
        </w:rPr>
        <w:t>Antenna array configuration for pedestrian UE</w:t>
      </w:r>
      <w:r>
        <w:rPr>
          <w:rFonts w:hint="eastAsia"/>
          <w:lang w:eastAsia="ko-KR"/>
        </w:rPr>
        <w:t xml:space="preserve"> and cellular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3534"/>
        <w:gridCol w:w="3692"/>
      </w:tblGrid>
      <w:tr w:rsidR="003A07E2" w:rsidRPr="000E2BF3" w14:paraId="4867B0A5" w14:textId="77777777" w:rsidTr="0025166A">
        <w:trPr>
          <w:trHeight w:val="248"/>
        </w:trPr>
        <w:tc>
          <w:tcPr>
            <w:tcW w:w="1103" w:type="pct"/>
            <w:vMerge w:val="restart"/>
            <w:shd w:val="clear" w:color="auto" w:fill="D9D9D9"/>
          </w:tcPr>
          <w:p w14:paraId="4522E4EC" w14:textId="77777777" w:rsidR="003A07E2" w:rsidRPr="00336518" w:rsidRDefault="003A07E2" w:rsidP="0025166A">
            <w:pPr>
              <w:pStyle w:val="TAH"/>
            </w:pPr>
          </w:p>
        </w:tc>
        <w:tc>
          <w:tcPr>
            <w:tcW w:w="3897" w:type="pct"/>
            <w:gridSpan w:val="2"/>
            <w:shd w:val="clear" w:color="auto" w:fill="D9D9D9"/>
          </w:tcPr>
          <w:p w14:paraId="66B4FD56" w14:textId="77777777" w:rsidR="003A07E2" w:rsidRPr="002F4A0C" w:rsidRDefault="003A07E2" w:rsidP="0025166A">
            <w:pPr>
              <w:pStyle w:val="TAH"/>
              <w:rPr>
                <w:lang w:eastAsia="ja-JP"/>
              </w:rPr>
            </w:pPr>
            <w:r w:rsidRPr="002F4A0C">
              <w:rPr>
                <w:lang w:eastAsia="ja-JP"/>
              </w:rPr>
              <w:t>Pedestrian UE</w:t>
            </w:r>
            <w:r>
              <w:rPr>
                <w:lang w:eastAsia="ja-JP"/>
              </w:rPr>
              <w:t xml:space="preserve"> and cellular UE</w:t>
            </w:r>
          </w:p>
        </w:tc>
      </w:tr>
      <w:tr w:rsidR="003A07E2" w:rsidRPr="000E2BF3" w14:paraId="5C7BF7DF" w14:textId="77777777" w:rsidTr="0025166A">
        <w:trPr>
          <w:trHeight w:val="248"/>
        </w:trPr>
        <w:tc>
          <w:tcPr>
            <w:tcW w:w="1103" w:type="pct"/>
            <w:vMerge/>
            <w:shd w:val="clear" w:color="auto" w:fill="D9D9D9"/>
          </w:tcPr>
          <w:p w14:paraId="4CF09311" w14:textId="77777777" w:rsidR="003A07E2" w:rsidRPr="005E4DE0" w:rsidRDefault="003A07E2" w:rsidP="0025166A">
            <w:pPr>
              <w:pStyle w:val="TAH"/>
            </w:pPr>
          </w:p>
        </w:tc>
        <w:tc>
          <w:tcPr>
            <w:tcW w:w="1906" w:type="pct"/>
            <w:shd w:val="clear" w:color="auto" w:fill="D9D9D9"/>
          </w:tcPr>
          <w:p w14:paraId="4446C6F2" w14:textId="77777777" w:rsidR="003A07E2" w:rsidRPr="002F4A0C" w:rsidRDefault="003A07E2" w:rsidP="0025166A">
            <w:pPr>
              <w:pStyle w:val="TAH"/>
            </w:pPr>
            <w:r w:rsidRPr="002F4A0C">
              <w:rPr>
                <w:lang w:eastAsia="ja-JP"/>
              </w:rPr>
              <w:t xml:space="preserve">For 6 GHz </w:t>
            </w:r>
          </w:p>
        </w:tc>
        <w:tc>
          <w:tcPr>
            <w:tcW w:w="1991" w:type="pct"/>
            <w:shd w:val="clear" w:color="auto" w:fill="D9D9D9"/>
          </w:tcPr>
          <w:p w14:paraId="6A4B0E99" w14:textId="77777777" w:rsidR="003A07E2" w:rsidRPr="002F4A0C" w:rsidRDefault="003A07E2" w:rsidP="0025166A">
            <w:pPr>
              <w:pStyle w:val="TAH"/>
            </w:pPr>
            <w:r w:rsidRPr="002F4A0C">
              <w:rPr>
                <w:lang w:eastAsia="ja-JP"/>
              </w:rPr>
              <w:t xml:space="preserve">For </w:t>
            </w:r>
            <w:r>
              <w:rPr>
                <w:rFonts w:eastAsiaTheme="minorEastAsia" w:hint="eastAsia"/>
                <w:lang w:eastAsia="ko-KR"/>
              </w:rPr>
              <w:t xml:space="preserve">30 and </w:t>
            </w:r>
            <w:r w:rsidRPr="002F4A0C">
              <w:rPr>
                <w:lang w:eastAsia="ja-JP"/>
              </w:rPr>
              <w:t>63 GHz</w:t>
            </w:r>
          </w:p>
        </w:tc>
      </w:tr>
      <w:tr w:rsidR="003A07E2" w:rsidRPr="000E2BF3" w14:paraId="1ED38121" w14:textId="77777777" w:rsidTr="0025166A">
        <w:trPr>
          <w:trHeight w:val="339"/>
        </w:trPr>
        <w:tc>
          <w:tcPr>
            <w:tcW w:w="1103" w:type="pct"/>
            <w:shd w:val="clear" w:color="auto" w:fill="auto"/>
          </w:tcPr>
          <w:p w14:paraId="1AE0FC42" w14:textId="77777777" w:rsidR="003A07E2" w:rsidRPr="00336518" w:rsidRDefault="003A07E2" w:rsidP="0025166A">
            <w:pPr>
              <w:pStyle w:val="TAL"/>
            </w:pPr>
            <w:r w:rsidRPr="00336518">
              <w:t>TXRU mapping</w:t>
            </w:r>
          </w:p>
        </w:tc>
        <w:tc>
          <w:tcPr>
            <w:tcW w:w="1906" w:type="pct"/>
            <w:shd w:val="clear" w:color="auto" w:fill="auto"/>
          </w:tcPr>
          <w:p w14:paraId="443A2613" w14:textId="77777777" w:rsidR="003A07E2" w:rsidRPr="00336518" w:rsidRDefault="003A07E2" w:rsidP="0025166A">
            <w:pPr>
              <w:pStyle w:val="TAL"/>
              <w:rPr>
                <w:lang w:eastAsia="ja-JP"/>
              </w:rPr>
            </w:pPr>
            <w:r w:rsidRPr="00336518">
              <w:rPr>
                <w:rFonts w:eastAsia="Calibri"/>
              </w:rPr>
              <w:t>Up to proponents decision</w:t>
            </w:r>
          </w:p>
        </w:tc>
        <w:tc>
          <w:tcPr>
            <w:tcW w:w="1991" w:type="pct"/>
            <w:shd w:val="clear" w:color="auto" w:fill="auto"/>
          </w:tcPr>
          <w:p w14:paraId="05D3864A" w14:textId="77777777" w:rsidR="003A07E2" w:rsidRPr="00336518" w:rsidRDefault="003A07E2" w:rsidP="0025166A">
            <w:pPr>
              <w:pStyle w:val="TAL"/>
              <w:rPr>
                <w:lang w:eastAsia="ja-JP"/>
              </w:rPr>
            </w:pPr>
            <w:r w:rsidRPr="00336518">
              <w:rPr>
                <w:rFonts w:eastAsia="Calibri"/>
              </w:rPr>
              <w:t>Up to proponents decision</w:t>
            </w:r>
          </w:p>
        </w:tc>
      </w:tr>
      <w:tr w:rsidR="003A07E2" w:rsidRPr="000E2BF3" w14:paraId="416903FB" w14:textId="77777777" w:rsidTr="0025166A">
        <w:trPr>
          <w:trHeight w:val="659"/>
        </w:trPr>
        <w:tc>
          <w:tcPr>
            <w:tcW w:w="1103" w:type="pct"/>
            <w:shd w:val="clear" w:color="auto" w:fill="auto"/>
          </w:tcPr>
          <w:p w14:paraId="330D83F7" w14:textId="77777777" w:rsidR="003A07E2" w:rsidRPr="00336518" w:rsidRDefault="003A07E2" w:rsidP="0025166A">
            <w:pPr>
              <w:pStyle w:val="TAL"/>
            </w:pPr>
            <w:r w:rsidRPr="00336518">
              <w:t>Number of antenna elements across all panels</w:t>
            </w:r>
          </w:p>
        </w:tc>
        <w:tc>
          <w:tcPr>
            <w:tcW w:w="1906" w:type="pct"/>
            <w:shd w:val="clear" w:color="auto" w:fill="auto"/>
          </w:tcPr>
          <w:p w14:paraId="288C5E51" w14:textId="77777777" w:rsidR="003A07E2" w:rsidRPr="00336518" w:rsidRDefault="003A07E2" w:rsidP="0025166A">
            <w:pPr>
              <w:pStyle w:val="TAL"/>
            </w:pPr>
            <w:r w:rsidRPr="00336518">
              <w:t xml:space="preserve">Up to 8 Tx /Rx antenna elements </w:t>
            </w:r>
          </w:p>
        </w:tc>
        <w:tc>
          <w:tcPr>
            <w:tcW w:w="1991" w:type="pct"/>
            <w:shd w:val="clear" w:color="auto" w:fill="auto"/>
          </w:tcPr>
          <w:p w14:paraId="2C0B1D1F" w14:textId="77777777" w:rsidR="003A07E2" w:rsidRPr="00336518" w:rsidRDefault="003A07E2" w:rsidP="0025166A">
            <w:pPr>
              <w:pStyle w:val="TAL"/>
              <w:rPr>
                <w:lang w:eastAsia="ja-JP"/>
              </w:rPr>
            </w:pPr>
            <w:r w:rsidRPr="00336518">
              <w:t>Up to 32 Tx /Rx antenna elements</w:t>
            </w:r>
          </w:p>
        </w:tc>
      </w:tr>
      <w:tr w:rsidR="003A07E2" w:rsidRPr="000E2BF3" w14:paraId="77CC0100" w14:textId="77777777" w:rsidTr="0025166A">
        <w:trPr>
          <w:trHeight w:val="372"/>
        </w:trPr>
        <w:tc>
          <w:tcPr>
            <w:tcW w:w="1103" w:type="pct"/>
            <w:shd w:val="clear" w:color="auto" w:fill="auto"/>
          </w:tcPr>
          <w:p w14:paraId="74CA863A" w14:textId="77777777" w:rsidR="003A07E2" w:rsidRPr="00336518" w:rsidRDefault="003A07E2" w:rsidP="0025166A">
            <w:pPr>
              <w:pStyle w:val="TAL"/>
            </w:pPr>
            <w:r w:rsidRPr="00336518">
              <w:t>Antenna array configuration</w:t>
            </w:r>
            <w:r w:rsidRPr="00336518">
              <w:rPr>
                <w:rFonts w:eastAsia="Calibri"/>
              </w:rPr>
              <w:br/>
              <w:t>(M, N, P, M</w:t>
            </w:r>
            <w:r w:rsidRPr="00336518">
              <w:rPr>
                <w:rFonts w:eastAsia="Calibri"/>
                <w:vertAlign w:val="subscript"/>
              </w:rPr>
              <w:t>g</w:t>
            </w:r>
            <w:r w:rsidRPr="00336518">
              <w:rPr>
                <w:rFonts w:eastAsia="Calibri"/>
              </w:rPr>
              <w:t>, N</w:t>
            </w:r>
            <w:r w:rsidRPr="00336518">
              <w:rPr>
                <w:rFonts w:eastAsia="Calibri"/>
                <w:vertAlign w:val="subscript"/>
              </w:rPr>
              <w:t>g</w:t>
            </w:r>
            <w:r w:rsidRPr="00336518">
              <w:rPr>
                <w:rFonts w:eastAsia="Calibri"/>
              </w:rPr>
              <w:t>)</w:t>
            </w:r>
          </w:p>
        </w:tc>
        <w:tc>
          <w:tcPr>
            <w:tcW w:w="1906" w:type="pct"/>
            <w:shd w:val="clear" w:color="auto" w:fill="auto"/>
          </w:tcPr>
          <w:p w14:paraId="188C5B4E" w14:textId="77777777" w:rsidR="003A07E2" w:rsidRPr="00336518" w:rsidRDefault="003A07E2" w:rsidP="0025166A">
            <w:pPr>
              <w:pStyle w:val="TAL"/>
              <w:rPr>
                <w:lang w:eastAsia="ja-JP"/>
              </w:rPr>
            </w:pPr>
            <w:r w:rsidRPr="001C72BA">
              <w:rPr>
                <w:lang w:eastAsia="ja-JP"/>
              </w:rPr>
              <w:t>(1, 2, 2, 1, 1)</w:t>
            </w:r>
          </w:p>
        </w:tc>
        <w:tc>
          <w:tcPr>
            <w:tcW w:w="1991" w:type="pct"/>
            <w:shd w:val="clear" w:color="auto" w:fill="auto"/>
          </w:tcPr>
          <w:p w14:paraId="5B97791B" w14:textId="77777777" w:rsidR="003A07E2" w:rsidRPr="00336518" w:rsidRDefault="003A07E2" w:rsidP="0025166A">
            <w:pPr>
              <w:pStyle w:val="TAL"/>
            </w:pPr>
            <w:r w:rsidRPr="00336518">
              <w:t>(2, 4, 2, 1, 2)</w:t>
            </w:r>
          </w:p>
          <w:p w14:paraId="5D0DDC5F" w14:textId="77777777" w:rsidR="003A07E2" w:rsidRPr="00336518" w:rsidRDefault="003A07E2" w:rsidP="0025166A">
            <w:pPr>
              <w:pStyle w:val="TAL"/>
            </w:pPr>
            <w:r w:rsidRPr="00336518">
              <w:t>Panel bearing angle: Ω</w:t>
            </w:r>
            <w:r w:rsidRPr="00336518">
              <w:rPr>
                <w:vertAlign w:val="subscript"/>
              </w:rPr>
              <w:t>0,1</w:t>
            </w:r>
            <w:r w:rsidRPr="00336518">
              <w:t>=Ω</w:t>
            </w:r>
            <w:r w:rsidRPr="00336518">
              <w:rPr>
                <w:vertAlign w:val="subscript"/>
              </w:rPr>
              <w:t>0,0</w:t>
            </w:r>
            <w:r w:rsidRPr="00336518">
              <w:t>+180°</w:t>
            </w:r>
          </w:p>
        </w:tc>
      </w:tr>
      <w:tr w:rsidR="003A07E2" w:rsidRPr="000E2BF3" w14:paraId="69F7C033" w14:textId="77777777" w:rsidTr="0025166A">
        <w:trPr>
          <w:trHeight w:val="372"/>
        </w:trPr>
        <w:tc>
          <w:tcPr>
            <w:tcW w:w="1103" w:type="pct"/>
            <w:shd w:val="clear" w:color="auto" w:fill="auto"/>
          </w:tcPr>
          <w:p w14:paraId="684F4AB1" w14:textId="77777777" w:rsidR="003A07E2" w:rsidRPr="00336518" w:rsidRDefault="003A07E2" w:rsidP="0025166A">
            <w:pPr>
              <w:pStyle w:val="TAL"/>
            </w:pPr>
            <w:r w:rsidRPr="00336518">
              <w:t>Antenna array spacing (d</w:t>
            </w:r>
            <w:r w:rsidRPr="00336518">
              <w:rPr>
                <w:vertAlign w:val="subscript"/>
              </w:rPr>
              <w:t>H</w:t>
            </w:r>
            <w:r w:rsidRPr="00336518">
              <w:t>,d</w:t>
            </w:r>
            <w:r w:rsidRPr="00336518">
              <w:rPr>
                <w:vertAlign w:val="subscript"/>
              </w:rPr>
              <w:t>V</w:t>
            </w:r>
            <w:r w:rsidRPr="00336518">
              <w:t>,d</w:t>
            </w:r>
            <w:r w:rsidRPr="00336518">
              <w:rPr>
                <w:vertAlign w:val="subscript"/>
              </w:rPr>
              <w:t>H,g</w:t>
            </w:r>
            <w:r w:rsidRPr="00336518">
              <w:t>,d</w:t>
            </w:r>
            <w:r w:rsidRPr="00336518">
              <w:rPr>
                <w:vertAlign w:val="subscript"/>
              </w:rPr>
              <w:t>V,g</w:t>
            </w:r>
            <w:r w:rsidRPr="00336518">
              <w:t>)</w:t>
            </w:r>
          </w:p>
        </w:tc>
        <w:tc>
          <w:tcPr>
            <w:tcW w:w="1906" w:type="pct"/>
            <w:shd w:val="clear" w:color="auto" w:fill="auto"/>
          </w:tcPr>
          <w:p w14:paraId="44F16582" w14:textId="77777777" w:rsidR="003A07E2" w:rsidRPr="00336518" w:rsidRDefault="003A07E2" w:rsidP="0025166A">
            <w:pPr>
              <w:pStyle w:val="TAL"/>
              <w:rPr>
                <w:lang w:eastAsia="ja-JP"/>
              </w:rPr>
            </w:pPr>
            <w:r w:rsidRPr="00336518">
              <w:t>(d</w:t>
            </w:r>
            <w:r w:rsidRPr="00336518">
              <w:rPr>
                <w:vertAlign w:val="subscript"/>
              </w:rPr>
              <w:t>H</w:t>
            </w:r>
            <w:r w:rsidRPr="00336518">
              <w:t>, d</w:t>
            </w:r>
            <w:r w:rsidRPr="00336518">
              <w:rPr>
                <w:vertAlign w:val="subscript"/>
              </w:rPr>
              <w:t>V</w:t>
            </w:r>
            <w:r w:rsidRPr="00336518">
              <w:t>)</w:t>
            </w:r>
            <w:r w:rsidRPr="00336518">
              <w:rPr>
                <w:lang w:eastAsia="ja-JP"/>
              </w:rPr>
              <w:t xml:space="preserve"> = (0.5, 0.5)λ</w:t>
            </w:r>
          </w:p>
          <w:p w14:paraId="7BCFF3B4" w14:textId="77777777" w:rsidR="003A07E2" w:rsidRPr="00336518" w:rsidRDefault="003A07E2" w:rsidP="0025166A">
            <w:pPr>
              <w:pStyle w:val="TAL"/>
              <w:rPr>
                <w:lang w:eastAsia="ja-JP"/>
              </w:rPr>
            </w:pPr>
          </w:p>
        </w:tc>
        <w:tc>
          <w:tcPr>
            <w:tcW w:w="1991" w:type="pct"/>
            <w:shd w:val="clear" w:color="auto" w:fill="auto"/>
          </w:tcPr>
          <w:p w14:paraId="73C54B88" w14:textId="77777777" w:rsidR="003A07E2" w:rsidRPr="00336518" w:rsidRDefault="003A07E2" w:rsidP="0025166A">
            <w:pPr>
              <w:pStyle w:val="TAL"/>
            </w:pPr>
            <w:r w:rsidRPr="00336518">
              <w:t>(d</w:t>
            </w:r>
            <w:r w:rsidRPr="00336518">
              <w:rPr>
                <w:vertAlign w:val="subscript"/>
              </w:rPr>
              <w:t>H</w:t>
            </w:r>
            <w:r w:rsidRPr="00336518">
              <w:t>, d</w:t>
            </w:r>
            <w:r w:rsidRPr="00336518">
              <w:rPr>
                <w:vertAlign w:val="subscript"/>
              </w:rPr>
              <w:t>V</w:t>
            </w:r>
            <w:r w:rsidRPr="00336518">
              <w:t>) = (0.5, 0.5)λ; (d</w:t>
            </w:r>
            <w:r w:rsidRPr="00336518">
              <w:rPr>
                <w:vertAlign w:val="subscript"/>
              </w:rPr>
              <w:t>H,g</w:t>
            </w:r>
            <w:r w:rsidRPr="00336518">
              <w:t>, d</w:t>
            </w:r>
            <w:r w:rsidRPr="00336518">
              <w:rPr>
                <w:vertAlign w:val="subscript"/>
              </w:rPr>
              <w:t>V,g</w:t>
            </w:r>
            <w:r w:rsidRPr="00336518">
              <w:t>) = (0, 0)λ</w:t>
            </w:r>
          </w:p>
          <w:p w14:paraId="72EF8615" w14:textId="77777777" w:rsidR="003A07E2" w:rsidRPr="00336518" w:rsidRDefault="003A07E2" w:rsidP="0025166A">
            <w:pPr>
              <w:pStyle w:val="TAL"/>
            </w:pPr>
          </w:p>
        </w:tc>
      </w:tr>
      <w:tr w:rsidR="003A07E2" w:rsidRPr="000E2BF3" w14:paraId="71B2D81E" w14:textId="77777777" w:rsidTr="0025166A">
        <w:trPr>
          <w:trHeight w:val="372"/>
        </w:trPr>
        <w:tc>
          <w:tcPr>
            <w:tcW w:w="1103" w:type="pct"/>
            <w:shd w:val="clear" w:color="auto" w:fill="auto"/>
          </w:tcPr>
          <w:p w14:paraId="60954602" w14:textId="77777777" w:rsidR="003A07E2" w:rsidRPr="00336518" w:rsidRDefault="003A07E2" w:rsidP="0025166A">
            <w:pPr>
              <w:pStyle w:val="TAL"/>
            </w:pPr>
            <w:r w:rsidRPr="00D23E62">
              <w:t>Antenna polarization</w:t>
            </w:r>
          </w:p>
        </w:tc>
        <w:tc>
          <w:tcPr>
            <w:tcW w:w="1906" w:type="pct"/>
            <w:shd w:val="clear" w:color="auto" w:fill="auto"/>
          </w:tcPr>
          <w:p w14:paraId="59ABA0A1" w14:textId="77777777" w:rsidR="003A07E2" w:rsidRPr="00336518" w:rsidRDefault="003A07E2" w:rsidP="0025166A">
            <w:pPr>
              <w:pStyle w:val="TAL"/>
            </w:pPr>
            <w:r w:rsidRPr="00D23E62">
              <w:t>Declare which polarization model in [15] is used</w:t>
            </w:r>
          </w:p>
        </w:tc>
        <w:tc>
          <w:tcPr>
            <w:tcW w:w="1991" w:type="pct"/>
            <w:shd w:val="clear" w:color="auto" w:fill="auto"/>
          </w:tcPr>
          <w:p w14:paraId="283E1B87" w14:textId="77777777" w:rsidR="003A07E2" w:rsidRPr="00336518" w:rsidRDefault="003A07E2" w:rsidP="0025166A">
            <w:pPr>
              <w:pStyle w:val="TAL"/>
            </w:pPr>
            <w:r w:rsidRPr="00D23E62">
              <w:t>Declare which polarization model in [15] is used</w:t>
            </w:r>
          </w:p>
        </w:tc>
      </w:tr>
      <w:tr w:rsidR="003A07E2" w:rsidRPr="000E2BF3" w14:paraId="67F57D1C" w14:textId="77777777" w:rsidTr="0025166A">
        <w:trPr>
          <w:trHeight w:val="372"/>
        </w:trPr>
        <w:tc>
          <w:tcPr>
            <w:tcW w:w="1103" w:type="pct"/>
            <w:shd w:val="clear" w:color="auto" w:fill="auto"/>
          </w:tcPr>
          <w:p w14:paraId="7519DB13" w14:textId="77777777" w:rsidR="003A07E2" w:rsidRPr="00336518" w:rsidRDefault="003A07E2" w:rsidP="0025166A">
            <w:pPr>
              <w:pStyle w:val="TAL"/>
            </w:pPr>
            <w:r w:rsidRPr="00336518">
              <w:t>Antenna tilt, deg</w:t>
            </w:r>
          </w:p>
        </w:tc>
        <w:tc>
          <w:tcPr>
            <w:tcW w:w="1906" w:type="pct"/>
            <w:shd w:val="clear" w:color="auto" w:fill="auto"/>
          </w:tcPr>
          <w:p w14:paraId="7BF6628E" w14:textId="77777777" w:rsidR="003A07E2" w:rsidRPr="00336518" w:rsidRDefault="003A07E2" w:rsidP="0025166A">
            <w:pPr>
              <w:pStyle w:val="TAL"/>
            </w:pPr>
            <w:r>
              <w:t>9</w:t>
            </w:r>
            <w:r w:rsidRPr="00336518">
              <w:t>0</w:t>
            </w:r>
          </w:p>
        </w:tc>
        <w:tc>
          <w:tcPr>
            <w:tcW w:w="1991" w:type="pct"/>
            <w:shd w:val="clear" w:color="auto" w:fill="auto"/>
          </w:tcPr>
          <w:p w14:paraId="362FEF20" w14:textId="77777777" w:rsidR="003A07E2" w:rsidRPr="00336518" w:rsidRDefault="003A07E2" w:rsidP="0025166A">
            <w:pPr>
              <w:pStyle w:val="TAL"/>
            </w:pPr>
            <w:r w:rsidRPr="00336518">
              <w:t>90</w:t>
            </w:r>
          </w:p>
        </w:tc>
      </w:tr>
    </w:tbl>
    <w:p w14:paraId="4FCD76E2" w14:textId="77777777" w:rsidR="003A07E2" w:rsidRPr="005E4DE0" w:rsidRDefault="003A07E2" w:rsidP="003A07E2">
      <w:pPr>
        <w:pStyle w:val="NO"/>
        <w:rPr>
          <w:lang w:eastAsia="ko-KR"/>
        </w:rPr>
      </w:pPr>
      <w:r w:rsidRPr="005E4DE0">
        <w:rPr>
          <w:lang w:eastAsia="ko-KR"/>
        </w:rPr>
        <w:t>Note: Antenna pattern can be different in different carrier frequencies.</w:t>
      </w:r>
    </w:p>
    <w:p w14:paraId="689F87BA" w14:textId="5C256E7E" w:rsidR="009A6B8C" w:rsidRPr="003A07E2" w:rsidRDefault="003A07E2" w:rsidP="00CC0979">
      <w:pPr>
        <w:rPr>
          <w:b/>
          <w:i/>
          <w:lang w:val="en-GB" w:eastAsia="ko-KR"/>
        </w:rPr>
      </w:pPr>
      <w:r w:rsidRPr="003A07E2">
        <w:rPr>
          <w:b/>
          <w:i/>
          <w:lang w:val="en-GB" w:eastAsia="ko-KR"/>
        </w:rPr>
        <w:t>Proposal 7: For evaluation of commercial deployments in SL FR2, reuse the antenna element pattern and antenna array configuration of pedestrian and cellular UEs as described in Table 6.1.4-6 and Table 6.1.4-7 of TR 37.885.</w:t>
      </w:r>
    </w:p>
    <w:p w14:paraId="263B197B" w14:textId="77777777" w:rsidR="009A6B8C" w:rsidRPr="009A6B8C" w:rsidRDefault="009A6B8C" w:rsidP="00CC0979">
      <w:pPr>
        <w:rPr>
          <w:lang w:val="en-GB" w:eastAsia="ko-KR"/>
        </w:rPr>
      </w:pPr>
    </w:p>
    <w:p w14:paraId="69591867" w14:textId="66AD3728" w:rsidR="00CC0979" w:rsidRDefault="00CC0979" w:rsidP="00CC0979">
      <w:pPr>
        <w:pStyle w:val="Heading2"/>
        <w:rPr>
          <w:lang w:eastAsia="ko-KR"/>
        </w:rPr>
      </w:pPr>
      <w:r>
        <w:rPr>
          <w:lang w:eastAsia="ko-KR"/>
        </w:rPr>
        <w:t>Channel model</w:t>
      </w:r>
    </w:p>
    <w:p w14:paraId="1E29D52C" w14:textId="7044117B" w:rsidR="003A07E2" w:rsidRDefault="00217F5A" w:rsidP="003A07E2">
      <w:pPr>
        <w:rPr>
          <w:lang w:val="en-GB" w:eastAsia="ko-KR"/>
        </w:rPr>
      </w:pPr>
      <w:r>
        <w:rPr>
          <w:lang w:val="en-GB" w:eastAsia="ko-KR"/>
        </w:rPr>
        <w:t xml:space="preserve">Use the channel model parameters of urban macro (UMa) as described in TR 38.901 </w:t>
      </w:r>
      <w:r>
        <w:rPr>
          <w:lang w:val="en-GB" w:eastAsia="ko-KR"/>
        </w:rPr>
        <w:fldChar w:fldCharType="begin"/>
      </w:r>
      <w:r>
        <w:rPr>
          <w:lang w:val="en-GB" w:eastAsia="ko-KR"/>
        </w:rPr>
        <w:instrText xml:space="preserve"> REF _Ref114771245 \r \h </w:instrText>
      </w:r>
      <w:r>
        <w:rPr>
          <w:lang w:val="en-GB" w:eastAsia="ko-KR"/>
        </w:rPr>
      </w:r>
      <w:r>
        <w:rPr>
          <w:lang w:val="en-GB" w:eastAsia="ko-KR"/>
        </w:rPr>
        <w:fldChar w:fldCharType="separate"/>
      </w:r>
      <w:r>
        <w:rPr>
          <w:lang w:val="en-GB" w:eastAsia="ko-KR"/>
        </w:rPr>
        <w:t>[4]</w:t>
      </w:r>
      <w:r>
        <w:rPr>
          <w:lang w:val="en-GB" w:eastAsia="ko-KR"/>
        </w:rPr>
        <w:fldChar w:fldCharType="end"/>
      </w:r>
      <w:r>
        <w:rPr>
          <w:lang w:val="en-GB" w:eastAsia="ko-KR"/>
        </w:rPr>
        <w:t xml:space="preserve">. Assume that </w:t>
      </w:r>
      <m:oMath>
        <m:sSub>
          <m:sSubPr>
            <m:ctrlPr>
              <w:rPr>
                <w:rFonts w:ascii="Cambria Math" w:hAnsi="Cambria Math"/>
                <w:i/>
                <w:lang w:val="en-GB" w:eastAsia="ko-KR"/>
              </w:rPr>
            </m:ctrlPr>
          </m:sSubPr>
          <m:e>
            <m:r>
              <w:rPr>
                <w:rFonts w:ascii="Cambria Math" w:hAnsi="Cambria Math"/>
                <w:lang w:val="en-GB" w:eastAsia="ko-KR"/>
              </w:rPr>
              <m:t>h</m:t>
            </m:r>
          </m:e>
          <m:sub>
            <m:r>
              <w:rPr>
                <w:rFonts w:ascii="Cambria Math" w:hAnsi="Cambria Math"/>
                <w:lang w:val="en-GB" w:eastAsia="ko-KR"/>
              </w:rPr>
              <m:t>UT</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h</m:t>
            </m:r>
          </m:e>
          <m:sub>
            <m:r>
              <w:rPr>
                <w:rFonts w:ascii="Cambria Math" w:hAnsi="Cambria Math"/>
                <w:lang w:val="en-GB" w:eastAsia="ko-KR"/>
              </w:rPr>
              <m:t>BS</m:t>
            </m:r>
          </m:sub>
        </m:sSub>
        <m:r>
          <w:rPr>
            <w:rFonts w:ascii="Cambria Math" w:hAnsi="Cambria Math"/>
            <w:lang w:val="en-GB" w:eastAsia="ko-KR"/>
          </w:rPr>
          <m:t>=1.5 m</m:t>
        </m:r>
      </m:oMath>
      <w:r>
        <w:rPr>
          <w:lang w:val="en-GB" w:eastAsia="ko-KR"/>
        </w:rPr>
        <w:t>.</w:t>
      </w:r>
    </w:p>
    <w:p w14:paraId="7E5F99DC" w14:textId="07E08F98" w:rsidR="00217F5A" w:rsidRPr="00217F5A" w:rsidRDefault="00217F5A" w:rsidP="003A07E2">
      <w:pPr>
        <w:rPr>
          <w:b/>
          <w:i/>
          <w:lang w:val="en-GB" w:eastAsia="ko-KR"/>
        </w:rPr>
      </w:pPr>
      <w:r w:rsidRPr="00217F5A">
        <w:rPr>
          <w:b/>
          <w:i/>
          <w:lang w:val="en-GB" w:eastAsia="ko-KR"/>
        </w:rPr>
        <w:t xml:space="preserve">Proposal </w:t>
      </w:r>
      <w:r>
        <w:rPr>
          <w:b/>
          <w:i/>
          <w:lang w:val="en-GB" w:eastAsia="ko-KR"/>
        </w:rPr>
        <w:t>8</w:t>
      </w:r>
      <w:r w:rsidRPr="00217F5A">
        <w:rPr>
          <w:b/>
          <w:i/>
          <w:lang w:val="en-GB" w:eastAsia="ko-KR"/>
        </w:rPr>
        <w:t xml:space="preserve">: For evaluation of commercial deployments in SL FR2, </w:t>
      </w:r>
      <w:r w:rsidR="005912AE">
        <w:rPr>
          <w:b/>
          <w:i/>
          <w:lang w:val="en-GB" w:eastAsia="ko-KR"/>
        </w:rPr>
        <w:t>u</w:t>
      </w:r>
      <w:r w:rsidRPr="00217F5A">
        <w:rPr>
          <w:b/>
          <w:i/>
          <w:lang w:val="en-GB" w:eastAsia="ko-KR"/>
        </w:rPr>
        <w:t xml:space="preserve">se the channel model parameters of urban macro (UMa) as described in TR 38.901 with </w:t>
      </w:r>
      <m:oMath>
        <m:sSub>
          <m:sSubPr>
            <m:ctrlPr>
              <w:rPr>
                <w:rFonts w:ascii="Cambria Math" w:hAnsi="Cambria Math"/>
                <w:b/>
                <w:i/>
                <w:lang w:val="en-GB" w:eastAsia="ko-KR"/>
              </w:rPr>
            </m:ctrlPr>
          </m:sSubPr>
          <m:e>
            <m:r>
              <m:rPr>
                <m:sty m:val="bi"/>
              </m:rPr>
              <w:rPr>
                <w:rFonts w:ascii="Cambria Math" w:hAnsi="Cambria Math"/>
                <w:lang w:val="en-GB" w:eastAsia="ko-KR"/>
              </w:rPr>
              <m:t>h</m:t>
            </m:r>
          </m:e>
          <m:sub>
            <m:r>
              <m:rPr>
                <m:sty m:val="bi"/>
              </m:rPr>
              <w:rPr>
                <w:rFonts w:ascii="Cambria Math" w:hAnsi="Cambria Math"/>
                <w:lang w:val="en-GB" w:eastAsia="ko-KR"/>
              </w:rPr>
              <m:t>UT</m:t>
            </m:r>
          </m:sub>
        </m:sSub>
        <m:r>
          <m:rPr>
            <m:sty m:val="bi"/>
          </m:rPr>
          <w:rPr>
            <w:rFonts w:ascii="Cambria Math" w:hAnsi="Cambria Math"/>
            <w:lang w:val="en-GB" w:eastAsia="ko-KR"/>
          </w:rPr>
          <m:t>=</m:t>
        </m:r>
        <m:sSub>
          <m:sSubPr>
            <m:ctrlPr>
              <w:rPr>
                <w:rFonts w:ascii="Cambria Math" w:hAnsi="Cambria Math"/>
                <w:b/>
                <w:i/>
                <w:lang w:val="en-GB" w:eastAsia="ko-KR"/>
              </w:rPr>
            </m:ctrlPr>
          </m:sSubPr>
          <m:e>
            <m:r>
              <m:rPr>
                <m:sty m:val="bi"/>
              </m:rPr>
              <w:rPr>
                <w:rFonts w:ascii="Cambria Math" w:hAnsi="Cambria Math"/>
                <w:lang w:val="en-GB" w:eastAsia="ko-KR"/>
              </w:rPr>
              <m:t>h</m:t>
            </m:r>
          </m:e>
          <m:sub>
            <m:r>
              <m:rPr>
                <m:sty m:val="bi"/>
              </m:rPr>
              <w:rPr>
                <w:rFonts w:ascii="Cambria Math" w:hAnsi="Cambria Math"/>
                <w:lang w:val="en-GB" w:eastAsia="ko-KR"/>
              </w:rPr>
              <m:t>BS</m:t>
            </m:r>
          </m:sub>
        </m:sSub>
        <m:r>
          <m:rPr>
            <m:sty m:val="bi"/>
          </m:rPr>
          <w:rPr>
            <w:rFonts w:ascii="Cambria Math" w:hAnsi="Cambria Math"/>
            <w:lang w:val="en-GB" w:eastAsia="ko-KR"/>
          </w:rPr>
          <m:t>=1.5 m</m:t>
        </m:r>
      </m:oMath>
      <w:r w:rsidRPr="00217F5A">
        <w:rPr>
          <w:b/>
          <w:i/>
          <w:lang w:val="en-GB" w:eastAsia="ko-KR"/>
        </w:rPr>
        <w:t>.</w:t>
      </w:r>
    </w:p>
    <w:p w14:paraId="7A8964FD" w14:textId="422AF20F" w:rsidR="00CC0979" w:rsidRDefault="00CC0979" w:rsidP="00CC0979">
      <w:pPr>
        <w:pStyle w:val="Heading2"/>
        <w:rPr>
          <w:lang w:eastAsia="ko-KR"/>
        </w:rPr>
      </w:pPr>
      <w:r>
        <w:rPr>
          <w:lang w:eastAsia="ko-KR"/>
        </w:rPr>
        <w:lastRenderedPageBreak/>
        <w:t>Traffic model</w:t>
      </w:r>
    </w:p>
    <w:p w14:paraId="049501A5" w14:textId="794A62C3" w:rsidR="00217F5A" w:rsidRDefault="00415E57" w:rsidP="00217F5A">
      <w:pPr>
        <w:rPr>
          <w:lang w:val="en-GB" w:eastAsia="ko-KR"/>
        </w:rPr>
      </w:pPr>
      <w:r>
        <w:rPr>
          <w:lang w:val="en-GB" w:eastAsia="ko-KR"/>
        </w:rPr>
        <w:t xml:space="preserve">The traffic model for evaluating SL in FR2 can be the high traffic intensity periodic traffic model (Model 3) define in clause 6.1.5 of TR 37.855 </w:t>
      </w:r>
      <w:r>
        <w:rPr>
          <w:lang w:val="en-GB" w:eastAsia="ko-KR"/>
        </w:rPr>
        <w:fldChar w:fldCharType="begin"/>
      </w:r>
      <w:r>
        <w:rPr>
          <w:lang w:val="en-GB" w:eastAsia="ko-KR"/>
        </w:rPr>
        <w:instrText xml:space="preserve"> REF _Ref114770852 \r \h </w:instrText>
      </w:r>
      <w:r>
        <w:rPr>
          <w:lang w:val="en-GB" w:eastAsia="ko-KR"/>
        </w:rPr>
      </w:r>
      <w:r>
        <w:rPr>
          <w:lang w:val="en-GB" w:eastAsia="ko-KR"/>
        </w:rPr>
        <w:fldChar w:fldCharType="separate"/>
      </w:r>
      <w:r>
        <w:rPr>
          <w:lang w:val="en-GB" w:eastAsia="ko-KR"/>
        </w:rPr>
        <w:t>[3]</w:t>
      </w:r>
      <w:r>
        <w:rPr>
          <w:lang w:val="en-GB" w:eastAsia="ko-KR"/>
        </w:rPr>
        <w:fldChar w:fldCharType="end"/>
      </w:r>
      <w:r>
        <w:rPr>
          <w:lang w:val="en-GB" w:eastAsia="ko-KR"/>
        </w:rPr>
        <w:t>, with the following parameters:</w:t>
      </w:r>
    </w:p>
    <w:p w14:paraId="35BBCD59" w14:textId="2C0F1BE3" w:rsidR="00415E57" w:rsidRDefault="00415E57" w:rsidP="00415E57">
      <w:pPr>
        <w:pStyle w:val="ListParagraph"/>
        <w:numPr>
          <w:ilvl w:val="0"/>
          <w:numId w:val="46"/>
        </w:numPr>
        <w:rPr>
          <w:lang w:val="en-GB" w:eastAsia="ko-KR"/>
        </w:rPr>
      </w:pPr>
      <w:r>
        <w:rPr>
          <w:lang w:val="en-GB" w:eastAsia="ko-KR"/>
        </w:rPr>
        <w:t>Inter-packet arrival time: 30 ms</w:t>
      </w:r>
    </w:p>
    <w:p w14:paraId="5AAD9374" w14:textId="34C099F2" w:rsidR="00415E57" w:rsidRDefault="00415E57" w:rsidP="00415E57">
      <w:pPr>
        <w:pStyle w:val="ListParagraph"/>
        <w:numPr>
          <w:ilvl w:val="0"/>
          <w:numId w:val="46"/>
        </w:numPr>
        <w:rPr>
          <w:lang w:val="en-GB" w:eastAsia="ko-KR"/>
        </w:rPr>
      </w:pPr>
      <w:r>
        <w:rPr>
          <w:lang w:val="en-GB" w:eastAsia="ko-KR"/>
        </w:rPr>
        <w:t>Packet size: Uniform random value in the range between 30000 bytes and 60000 bytes with a quantization step of 10000 bytes.</w:t>
      </w:r>
    </w:p>
    <w:p w14:paraId="5BDEB680" w14:textId="7B3B0CA9" w:rsidR="00415E57" w:rsidRPr="00415E57" w:rsidRDefault="00415E57" w:rsidP="00415E57">
      <w:pPr>
        <w:pStyle w:val="ListParagraph"/>
        <w:numPr>
          <w:ilvl w:val="0"/>
          <w:numId w:val="46"/>
        </w:numPr>
        <w:rPr>
          <w:lang w:val="en-GB" w:eastAsia="ko-KR"/>
        </w:rPr>
      </w:pPr>
      <w:r>
        <w:rPr>
          <w:lang w:val="en-GB" w:eastAsia="ko-KR"/>
        </w:rPr>
        <w:t>Latency requirement: 30 ms</w:t>
      </w:r>
    </w:p>
    <w:p w14:paraId="3438A3A2" w14:textId="18CC431C" w:rsidR="005912AE" w:rsidRPr="00217F5A" w:rsidRDefault="005912AE" w:rsidP="00217F5A">
      <w:pPr>
        <w:rPr>
          <w:lang w:val="en-GB" w:eastAsia="ko-KR"/>
        </w:rPr>
      </w:pPr>
      <w:r w:rsidRPr="00217F5A">
        <w:rPr>
          <w:b/>
          <w:i/>
          <w:lang w:val="en-GB" w:eastAsia="ko-KR"/>
        </w:rPr>
        <w:t xml:space="preserve">Proposal </w:t>
      </w:r>
      <w:r>
        <w:rPr>
          <w:b/>
          <w:i/>
          <w:lang w:val="en-GB" w:eastAsia="ko-KR"/>
        </w:rPr>
        <w:t>9</w:t>
      </w:r>
      <w:r w:rsidRPr="00217F5A">
        <w:rPr>
          <w:b/>
          <w:i/>
          <w:lang w:val="en-GB" w:eastAsia="ko-KR"/>
        </w:rPr>
        <w:t>: For evaluation of commercial deployments in SL FR2,</w:t>
      </w:r>
      <w:r>
        <w:rPr>
          <w:b/>
          <w:i/>
          <w:lang w:val="en-GB" w:eastAsia="ko-KR"/>
        </w:rPr>
        <w:t xml:space="preserve"> </w:t>
      </w:r>
      <w:r w:rsidR="00415E57">
        <w:rPr>
          <w:b/>
          <w:i/>
          <w:lang w:val="en-GB" w:eastAsia="ko-KR"/>
        </w:rPr>
        <w:t>use periodic traffic Model 3 as specified in TR 37.855</w:t>
      </w:r>
      <w:r>
        <w:rPr>
          <w:b/>
          <w:i/>
          <w:lang w:val="en-GB" w:eastAsia="ko-KR"/>
        </w:rPr>
        <w:t>.</w:t>
      </w:r>
    </w:p>
    <w:p w14:paraId="29A50620" w14:textId="3BD9C23E" w:rsidR="00CC0979" w:rsidRDefault="00CC0979" w:rsidP="00CC0979">
      <w:pPr>
        <w:pStyle w:val="Heading2"/>
        <w:rPr>
          <w:lang w:eastAsia="ko-KR"/>
        </w:rPr>
      </w:pPr>
      <w:r>
        <w:rPr>
          <w:lang w:eastAsia="ko-KR"/>
        </w:rPr>
        <w:t>Evaluation metrics</w:t>
      </w:r>
    </w:p>
    <w:p w14:paraId="2BFD97FF" w14:textId="16A3D4C4" w:rsidR="005912AE" w:rsidRDefault="00415E57" w:rsidP="005912AE">
      <w:pPr>
        <w:rPr>
          <w:lang w:val="en-GB" w:eastAsia="ko-KR"/>
        </w:rPr>
      </w:pPr>
      <w:r>
        <w:rPr>
          <w:lang w:val="en-GB" w:eastAsia="ko-KR"/>
        </w:rPr>
        <w:t>The following evaluation metrics can be considered for evaluation of SL FR2:</w:t>
      </w:r>
    </w:p>
    <w:p w14:paraId="40ED63BA" w14:textId="7E32A168" w:rsidR="00415E57" w:rsidRPr="00415E57" w:rsidRDefault="00415E57" w:rsidP="00415E57">
      <w:pPr>
        <w:pStyle w:val="ListParagraph"/>
        <w:numPr>
          <w:ilvl w:val="0"/>
          <w:numId w:val="46"/>
        </w:numPr>
        <w:rPr>
          <w:lang w:val="en-GB" w:eastAsia="ko-KR"/>
        </w:rPr>
      </w:pPr>
      <w:r>
        <w:rPr>
          <w:lang w:val="en-GB" w:eastAsia="ko-KR"/>
        </w:rPr>
        <w:t>5%, and CDF of user throughput.</w:t>
      </w:r>
    </w:p>
    <w:p w14:paraId="2A43A900" w14:textId="4699AAD3" w:rsidR="00415E57" w:rsidRDefault="00415E57" w:rsidP="00415E57">
      <w:pPr>
        <w:pStyle w:val="ListParagraph"/>
        <w:numPr>
          <w:ilvl w:val="0"/>
          <w:numId w:val="46"/>
        </w:numPr>
        <w:rPr>
          <w:lang w:val="en-GB" w:eastAsia="ko-KR"/>
        </w:rPr>
      </w:pPr>
      <w:r>
        <w:rPr>
          <w:lang w:val="en-GB" w:eastAsia="ko-KR"/>
        </w:rPr>
        <w:t>Packet reception ratio (PRR) as defined in clause 6.1.6 of TR 37.855</w:t>
      </w:r>
      <w:r w:rsidR="00C6206B">
        <w:rPr>
          <w:lang w:val="en-GB" w:eastAsia="ko-KR"/>
        </w:rPr>
        <w:t>.</w:t>
      </w:r>
    </w:p>
    <w:p w14:paraId="103B4E47" w14:textId="6ADEA12E" w:rsidR="00C6206B" w:rsidRDefault="00C6206B" w:rsidP="00415E57">
      <w:pPr>
        <w:pStyle w:val="ListParagraph"/>
        <w:numPr>
          <w:ilvl w:val="0"/>
          <w:numId w:val="46"/>
        </w:numPr>
        <w:rPr>
          <w:lang w:val="en-GB" w:eastAsia="ko-KR"/>
        </w:rPr>
      </w:pPr>
      <w:r>
        <w:rPr>
          <w:lang w:val="en-GB" w:eastAsia="ko-KR"/>
        </w:rPr>
        <w:t>Packet inter-reception (PIR) as defined in clause 6.1.6 of TR 37.855.</w:t>
      </w:r>
    </w:p>
    <w:p w14:paraId="79DA4A02" w14:textId="121BCAA9" w:rsidR="00C6206B" w:rsidRDefault="00C6206B" w:rsidP="00C6206B">
      <w:pPr>
        <w:rPr>
          <w:lang w:val="en-GB" w:eastAsia="ko-KR"/>
        </w:rPr>
      </w:pPr>
    </w:p>
    <w:p w14:paraId="4F3A6C77" w14:textId="3580BF1A" w:rsidR="00C6206B" w:rsidRDefault="00C6206B" w:rsidP="00C6206B">
      <w:pPr>
        <w:rPr>
          <w:b/>
          <w:i/>
          <w:lang w:val="en-GB" w:eastAsia="ko-KR"/>
        </w:rPr>
      </w:pPr>
      <w:r w:rsidRPr="00217F5A">
        <w:rPr>
          <w:b/>
          <w:i/>
          <w:lang w:val="en-GB" w:eastAsia="ko-KR"/>
        </w:rPr>
        <w:t xml:space="preserve">Proposal </w:t>
      </w:r>
      <w:r>
        <w:rPr>
          <w:b/>
          <w:i/>
          <w:lang w:val="en-GB" w:eastAsia="ko-KR"/>
        </w:rPr>
        <w:t>10</w:t>
      </w:r>
      <w:r w:rsidRPr="00217F5A">
        <w:rPr>
          <w:b/>
          <w:i/>
          <w:lang w:val="en-GB" w:eastAsia="ko-KR"/>
        </w:rPr>
        <w:t>: For evaluation of commercial deployments in SL FR2,</w:t>
      </w:r>
      <w:r>
        <w:rPr>
          <w:b/>
          <w:i/>
          <w:lang w:val="en-GB" w:eastAsia="ko-KR"/>
        </w:rPr>
        <w:t xml:space="preserve"> consider the following evaluation metrics:</w:t>
      </w:r>
    </w:p>
    <w:p w14:paraId="73B3BBAB" w14:textId="77777777" w:rsidR="00C6206B" w:rsidRPr="00C6206B" w:rsidRDefault="00C6206B" w:rsidP="00C6206B">
      <w:pPr>
        <w:pStyle w:val="ListParagraph"/>
        <w:numPr>
          <w:ilvl w:val="0"/>
          <w:numId w:val="46"/>
        </w:numPr>
        <w:rPr>
          <w:b/>
          <w:i/>
          <w:lang w:val="en-GB" w:eastAsia="ko-KR"/>
        </w:rPr>
      </w:pPr>
      <w:r w:rsidRPr="00C6206B">
        <w:rPr>
          <w:b/>
          <w:i/>
          <w:lang w:val="en-GB" w:eastAsia="ko-KR"/>
        </w:rPr>
        <w:t>5%, and CDF of user throughput.</w:t>
      </w:r>
    </w:p>
    <w:p w14:paraId="51339252" w14:textId="6337790D" w:rsidR="00C6206B" w:rsidRPr="00C6206B" w:rsidRDefault="00C6206B" w:rsidP="00C6206B">
      <w:pPr>
        <w:pStyle w:val="ListParagraph"/>
        <w:numPr>
          <w:ilvl w:val="0"/>
          <w:numId w:val="46"/>
        </w:numPr>
        <w:rPr>
          <w:b/>
          <w:i/>
          <w:lang w:val="en-GB" w:eastAsia="ko-KR"/>
        </w:rPr>
      </w:pPr>
      <w:r w:rsidRPr="00C6206B">
        <w:rPr>
          <w:b/>
          <w:i/>
          <w:lang w:val="en-GB" w:eastAsia="ko-KR"/>
        </w:rPr>
        <w:t>Packet reception ratio (PRR).</w:t>
      </w:r>
    </w:p>
    <w:p w14:paraId="2730273B" w14:textId="105E16C0" w:rsidR="00C6206B" w:rsidRPr="00C6206B" w:rsidRDefault="00C6206B" w:rsidP="00C6206B">
      <w:pPr>
        <w:pStyle w:val="ListParagraph"/>
        <w:numPr>
          <w:ilvl w:val="0"/>
          <w:numId w:val="46"/>
        </w:numPr>
        <w:rPr>
          <w:b/>
          <w:i/>
          <w:lang w:val="en-GB" w:eastAsia="ko-KR"/>
        </w:rPr>
      </w:pPr>
      <w:r w:rsidRPr="00C6206B">
        <w:rPr>
          <w:b/>
          <w:i/>
          <w:lang w:val="en-GB" w:eastAsia="ko-KR"/>
        </w:rPr>
        <w:t>Packet inter-reception (PIR).</w:t>
      </w:r>
    </w:p>
    <w:p w14:paraId="46E09FC7" w14:textId="0D45B72D" w:rsidR="00415E57" w:rsidRPr="005912AE" w:rsidRDefault="00415E57" w:rsidP="005912AE">
      <w:pPr>
        <w:rPr>
          <w:lang w:val="en-GB"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1107778B" w:rsidR="009C0C2D" w:rsidRDefault="009C0C2D" w:rsidP="009C0C2D">
      <w:pPr>
        <w:rPr>
          <w:lang w:eastAsia="ko-KR"/>
        </w:rPr>
      </w:pPr>
      <w:r w:rsidRPr="00EE7300">
        <w:rPr>
          <w:lang w:eastAsia="ko-KR"/>
        </w:rPr>
        <w:t xml:space="preserve">The following proposals have been </w:t>
      </w:r>
      <w:r>
        <w:rPr>
          <w:lang w:eastAsia="ko-KR"/>
        </w:rPr>
        <w:t>made regarding co-existence between LTE SL and NR SL</w:t>
      </w:r>
    </w:p>
    <w:p w14:paraId="65FF7960" w14:textId="77777777" w:rsidR="00C6206B" w:rsidRPr="00CC0979" w:rsidRDefault="00C6206B" w:rsidP="00C6206B">
      <w:pPr>
        <w:rPr>
          <w:b/>
          <w:i/>
          <w:lang w:val="en-GB" w:eastAsia="ko-KR"/>
        </w:rPr>
      </w:pPr>
      <w:r w:rsidRPr="00CC0979">
        <w:rPr>
          <w:b/>
          <w:i/>
          <w:lang w:val="en-GB" w:eastAsia="ko-KR"/>
        </w:rPr>
        <w:t>Proposal 1: For evaluation of commercial deployment</w:t>
      </w:r>
      <w:r>
        <w:rPr>
          <w:b/>
          <w:i/>
          <w:lang w:val="en-GB" w:eastAsia="ko-KR"/>
        </w:rPr>
        <w:t>s</w:t>
      </w:r>
      <w:r w:rsidRPr="00CC0979">
        <w:rPr>
          <w:b/>
          <w:i/>
          <w:lang w:val="en-GB" w:eastAsia="ko-KR"/>
        </w:rPr>
        <w:t xml:space="preserve"> in SL FR2, the carrier frequency is 30 GHz.</w:t>
      </w:r>
    </w:p>
    <w:p w14:paraId="431784AF" w14:textId="77777777" w:rsidR="00C6206B" w:rsidRDefault="00C6206B" w:rsidP="00C6206B">
      <w:pPr>
        <w:rPr>
          <w:b/>
          <w:i/>
          <w:lang w:val="en-GB" w:eastAsia="ko-KR"/>
        </w:rPr>
      </w:pPr>
      <w:r w:rsidRPr="00CC0979">
        <w:rPr>
          <w:b/>
          <w:i/>
          <w:lang w:val="en-GB" w:eastAsia="ko-KR"/>
        </w:rPr>
        <w:t xml:space="preserve">Proposal </w:t>
      </w:r>
      <w:r>
        <w:rPr>
          <w:b/>
          <w:i/>
          <w:lang w:val="en-GB" w:eastAsia="ko-KR"/>
        </w:rPr>
        <w:t>2</w:t>
      </w:r>
      <w:r w:rsidRPr="00CC0979">
        <w:rPr>
          <w:b/>
          <w:i/>
          <w:lang w:val="en-GB" w:eastAsia="ko-KR"/>
        </w:rPr>
        <w:t>: For evaluation of commercial deployment</w:t>
      </w:r>
      <w:r>
        <w:rPr>
          <w:b/>
          <w:i/>
          <w:lang w:val="en-GB" w:eastAsia="ko-KR"/>
        </w:rPr>
        <w:t>s</w:t>
      </w:r>
      <w:r w:rsidRPr="00CC0979">
        <w:rPr>
          <w:b/>
          <w:i/>
          <w:lang w:val="en-GB" w:eastAsia="ko-KR"/>
        </w:rPr>
        <w:t xml:space="preserve"> in SL FR2,</w:t>
      </w:r>
      <w:r>
        <w:rPr>
          <w:b/>
          <w:i/>
          <w:lang w:val="en-GB" w:eastAsia="ko-KR"/>
        </w:rPr>
        <w:t xml:space="preserve"> evaluate the following system bandwidth options 100 MHz at 60 kHz SCS and 400 MHz at 120 kHz SCS.</w:t>
      </w:r>
    </w:p>
    <w:p w14:paraId="2DA03DF3" w14:textId="77777777" w:rsidR="00C6206B" w:rsidRPr="009E4253" w:rsidRDefault="00C6206B" w:rsidP="00C6206B">
      <w:pPr>
        <w:rPr>
          <w:b/>
          <w:i/>
          <w:lang w:val="en-GB" w:eastAsia="ko-KR"/>
        </w:rPr>
      </w:pPr>
      <w:r w:rsidRPr="009E4253">
        <w:rPr>
          <w:b/>
          <w:i/>
          <w:lang w:val="en-GB" w:eastAsia="ko-KR"/>
        </w:rPr>
        <w:t>Proposal 3: For evaluation of commercial deployments in SL FR2, use a hexagonal grid with 7 macro sites and 3 sectors per macro site with wrap around. The ISD is 500m with all UEs outdoor.</w:t>
      </w:r>
    </w:p>
    <w:p w14:paraId="39878635" w14:textId="77777777" w:rsidR="00C6206B" w:rsidRPr="009A6B8C" w:rsidRDefault="00C6206B" w:rsidP="00C6206B">
      <w:pPr>
        <w:rPr>
          <w:b/>
          <w:i/>
          <w:lang w:val="en-GB" w:eastAsia="ko-KR"/>
        </w:rPr>
      </w:pPr>
      <w:r w:rsidRPr="009A6B8C">
        <w:rPr>
          <w:b/>
          <w:i/>
          <w:lang w:val="en-GB" w:eastAsia="ko-KR"/>
        </w:rPr>
        <w:t>Proposal 4: For evaluation of commercial deployments in SL FR2, there are a total of 150 UEs per cell. The UEs are drop randomly and uniformly throughout the simulated geographical area.</w:t>
      </w:r>
    </w:p>
    <w:p w14:paraId="1F34823D" w14:textId="77777777" w:rsidR="00C6206B" w:rsidRPr="009A6B8C" w:rsidRDefault="00C6206B" w:rsidP="00C6206B">
      <w:pPr>
        <w:rPr>
          <w:b/>
          <w:i/>
          <w:lang w:val="en-GB" w:eastAsia="ko-KR"/>
        </w:rPr>
      </w:pPr>
      <w:r w:rsidRPr="009A6B8C">
        <w:rPr>
          <w:b/>
          <w:i/>
          <w:lang w:val="en-GB" w:eastAsia="ko-KR"/>
        </w:rPr>
        <w:t>Proposal 5: For evaluation of commercial deployments in SL FR2, UEs have a speed of 3 km/hr.</w:t>
      </w:r>
    </w:p>
    <w:p w14:paraId="3C750F9D" w14:textId="77777777" w:rsidR="00C6206B" w:rsidRPr="009A6B8C" w:rsidRDefault="00C6206B" w:rsidP="00C6206B">
      <w:pPr>
        <w:rPr>
          <w:b/>
          <w:i/>
          <w:lang w:val="en-GB" w:eastAsia="ko-KR"/>
        </w:rPr>
      </w:pPr>
      <w:r w:rsidRPr="009A6B8C">
        <w:rPr>
          <w:b/>
          <w:i/>
          <w:lang w:val="en-GB" w:eastAsia="ko-KR"/>
        </w:rPr>
        <w:t>Proposal 6: For evaluation of commercial deployments in SL FR2, UEs have a maximum transmit power of 23 dBm.</w:t>
      </w:r>
    </w:p>
    <w:p w14:paraId="38F3F74A" w14:textId="77777777" w:rsidR="00C6206B" w:rsidRPr="003A07E2" w:rsidRDefault="00C6206B" w:rsidP="00C6206B">
      <w:pPr>
        <w:rPr>
          <w:b/>
          <w:i/>
          <w:lang w:val="en-GB" w:eastAsia="ko-KR"/>
        </w:rPr>
      </w:pPr>
      <w:r w:rsidRPr="003A07E2">
        <w:rPr>
          <w:b/>
          <w:i/>
          <w:lang w:val="en-GB" w:eastAsia="ko-KR"/>
        </w:rPr>
        <w:t>Proposal 7: For evaluation of commercial deployments in SL FR2, reuse the antenna element pattern and antenna array configuration of pedestrian and cellular UEs as described in Table 6.1.4-6 and Table 6.1.4-7 of TR 37.885.</w:t>
      </w:r>
    </w:p>
    <w:p w14:paraId="7905BEB3" w14:textId="77777777" w:rsidR="00C6206B" w:rsidRPr="00217F5A" w:rsidRDefault="00C6206B" w:rsidP="00C6206B">
      <w:pPr>
        <w:rPr>
          <w:b/>
          <w:i/>
          <w:lang w:val="en-GB" w:eastAsia="ko-KR"/>
        </w:rPr>
      </w:pPr>
      <w:r w:rsidRPr="00217F5A">
        <w:rPr>
          <w:b/>
          <w:i/>
          <w:lang w:val="en-GB" w:eastAsia="ko-KR"/>
        </w:rPr>
        <w:t xml:space="preserve">Proposal </w:t>
      </w:r>
      <w:r>
        <w:rPr>
          <w:b/>
          <w:i/>
          <w:lang w:val="en-GB" w:eastAsia="ko-KR"/>
        </w:rPr>
        <w:t>8</w:t>
      </w:r>
      <w:r w:rsidRPr="00217F5A">
        <w:rPr>
          <w:b/>
          <w:i/>
          <w:lang w:val="en-GB" w:eastAsia="ko-KR"/>
        </w:rPr>
        <w:t xml:space="preserve">: For evaluation of commercial deployments in SL FR2, </w:t>
      </w:r>
      <w:r>
        <w:rPr>
          <w:b/>
          <w:i/>
          <w:lang w:val="en-GB" w:eastAsia="ko-KR"/>
        </w:rPr>
        <w:t>u</w:t>
      </w:r>
      <w:r w:rsidRPr="00217F5A">
        <w:rPr>
          <w:b/>
          <w:i/>
          <w:lang w:val="en-GB" w:eastAsia="ko-KR"/>
        </w:rPr>
        <w:t xml:space="preserve">se the channel model parameters of urban macro (UMa) as described in TR 38.901 with </w:t>
      </w:r>
      <m:oMath>
        <m:sSub>
          <m:sSubPr>
            <m:ctrlPr>
              <w:rPr>
                <w:rFonts w:ascii="Cambria Math" w:hAnsi="Cambria Math"/>
                <w:b/>
                <w:i/>
                <w:lang w:val="en-GB" w:eastAsia="ko-KR"/>
              </w:rPr>
            </m:ctrlPr>
          </m:sSubPr>
          <m:e>
            <m:r>
              <m:rPr>
                <m:sty m:val="bi"/>
              </m:rPr>
              <w:rPr>
                <w:rFonts w:ascii="Cambria Math" w:hAnsi="Cambria Math"/>
                <w:lang w:val="en-GB" w:eastAsia="ko-KR"/>
              </w:rPr>
              <m:t>h</m:t>
            </m:r>
          </m:e>
          <m:sub>
            <m:r>
              <m:rPr>
                <m:sty m:val="bi"/>
              </m:rPr>
              <w:rPr>
                <w:rFonts w:ascii="Cambria Math" w:hAnsi="Cambria Math"/>
                <w:lang w:val="en-GB" w:eastAsia="ko-KR"/>
              </w:rPr>
              <m:t>UT</m:t>
            </m:r>
          </m:sub>
        </m:sSub>
        <m:r>
          <m:rPr>
            <m:sty m:val="bi"/>
          </m:rPr>
          <w:rPr>
            <w:rFonts w:ascii="Cambria Math" w:hAnsi="Cambria Math"/>
            <w:lang w:val="en-GB" w:eastAsia="ko-KR"/>
          </w:rPr>
          <m:t>=</m:t>
        </m:r>
        <m:sSub>
          <m:sSubPr>
            <m:ctrlPr>
              <w:rPr>
                <w:rFonts w:ascii="Cambria Math" w:hAnsi="Cambria Math"/>
                <w:b/>
                <w:i/>
                <w:lang w:val="en-GB" w:eastAsia="ko-KR"/>
              </w:rPr>
            </m:ctrlPr>
          </m:sSubPr>
          <m:e>
            <m:r>
              <m:rPr>
                <m:sty m:val="bi"/>
              </m:rPr>
              <w:rPr>
                <w:rFonts w:ascii="Cambria Math" w:hAnsi="Cambria Math"/>
                <w:lang w:val="en-GB" w:eastAsia="ko-KR"/>
              </w:rPr>
              <m:t>h</m:t>
            </m:r>
          </m:e>
          <m:sub>
            <m:r>
              <m:rPr>
                <m:sty m:val="bi"/>
              </m:rPr>
              <w:rPr>
                <w:rFonts w:ascii="Cambria Math" w:hAnsi="Cambria Math"/>
                <w:lang w:val="en-GB" w:eastAsia="ko-KR"/>
              </w:rPr>
              <m:t>BS</m:t>
            </m:r>
          </m:sub>
        </m:sSub>
        <m:r>
          <m:rPr>
            <m:sty m:val="bi"/>
          </m:rPr>
          <w:rPr>
            <w:rFonts w:ascii="Cambria Math" w:hAnsi="Cambria Math"/>
            <w:lang w:val="en-GB" w:eastAsia="ko-KR"/>
          </w:rPr>
          <m:t>=1.5 m</m:t>
        </m:r>
      </m:oMath>
      <w:r w:rsidRPr="00217F5A">
        <w:rPr>
          <w:b/>
          <w:i/>
          <w:lang w:val="en-GB" w:eastAsia="ko-KR"/>
        </w:rPr>
        <w:t>.</w:t>
      </w:r>
    </w:p>
    <w:p w14:paraId="007D14C7" w14:textId="77777777" w:rsidR="00C6206B" w:rsidRPr="00217F5A" w:rsidRDefault="00C6206B" w:rsidP="00C6206B">
      <w:pPr>
        <w:rPr>
          <w:lang w:val="en-GB" w:eastAsia="ko-KR"/>
        </w:rPr>
      </w:pPr>
      <w:r w:rsidRPr="00217F5A">
        <w:rPr>
          <w:b/>
          <w:i/>
          <w:lang w:val="en-GB" w:eastAsia="ko-KR"/>
        </w:rPr>
        <w:t xml:space="preserve">Proposal </w:t>
      </w:r>
      <w:r>
        <w:rPr>
          <w:b/>
          <w:i/>
          <w:lang w:val="en-GB" w:eastAsia="ko-KR"/>
        </w:rPr>
        <w:t>9</w:t>
      </w:r>
      <w:r w:rsidRPr="00217F5A">
        <w:rPr>
          <w:b/>
          <w:i/>
          <w:lang w:val="en-GB" w:eastAsia="ko-KR"/>
        </w:rPr>
        <w:t>: For evaluation of commercial deployments in SL FR2,</w:t>
      </w:r>
      <w:r>
        <w:rPr>
          <w:b/>
          <w:i/>
          <w:lang w:val="en-GB" w:eastAsia="ko-KR"/>
        </w:rPr>
        <w:t xml:space="preserve"> use periodic traffic Model 3 as specified in TR 37.855.</w:t>
      </w:r>
    </w:p>
    <w:p w14:paraId="4C11CA63" w14:textId="77777777" w:rsidR="00C6206B" w:rsidRDefault="00C6206B" w:rsidP="00C6206B">
      <w:pPr>
        <w:rPr>
          <w:b/>
          <w:i/>
          <w:lang w:val="en-GB" w:eastAsia="ko-KR"/>
        </w:rPr>
      </w:pPr>
      <w:r w:rsidRPr="00217F5A">
        <w:rPr>
          <w:b/>
          <w:i/>
          <w:lang w:val="en-GB" w:eastAsia="ko-KR"/>
        </w:rPr>
        <w:t xml:space="preserve">Proposal </w:t>
      </w:r>
      <w:r>
        <w:rPr>
          <w:b/>
          <w:i/>
          <w:lang w:val="en-GB" w:eastAsia="ko-KR"/>
        </w:rPr>
        <w:t>10</w:t>
      </w:r>
      <w:r w:rsidRPr="00217F5A">
        <w:rPr>
          <w:b/>
          <w:i/>
          <w:lang w:val="en-GB" w:eastAsia="ko-KR"/>
        </w:rPr>
        <w:t>: For evaluation of commercial deployments in SL FR2,</w:t>
      </w:r>
      <w:r>
        <w:rPr>
          <w:b/>
          <w:i/>
          <w:lang w:val="en-GB" w:eastAsia="ko-KR"/>
        </w:rPr>
        <w:t xml:space="preserve"> consider the following evaluation metrics:</w:t>
      </w:r>
    </w:p>
    <w:p w14:paraId="618E0D9B" w14:textId="77777777" w:rsidR="00C6206B" w:rsidRPr="00C6206B" w:rsidRDefault="00C6206B" w:rsidP="00C6206B">
      <w:pPr>
        <w:pStyle w:val="ListParagraph"/>
        <w:numPr>
          <w:ilvl w:val="0"/>
          <w:numId w:val="46"/>
        </w:numPr>
        <w:rPr>
          <w:b/>
          <w:i/>
          <w:lang w:val="en-GB" w:eastAsia="ko-KR"/>
        </w:rPr>
      </w:pPr>
      <w:r w:rsidRPr="00C6206B">
        <w:rPr>
          <w:b/>
          <w:i/>
          <w:lang w:val="en-GB" w:eastAsia="ko-KR"/>
        </w:rPr>
        <w:t>5%, and CDF of user throughput.</w:t>
      </w:r>
    </w:p>
    <w:p w14:paraId="21ACE4C1" w14:textId="77777777" w:rsidR="00C6206B" w:rsidRPr="00C6206B" w:rsidRDefault="00C6206B" w:rsidP="00C6206B">
      <w:pPr>
        <w:pStyle w:val="ListParagraph"/>
        <w:numPr>
          <w:ilvl w:val="0"/>
          <w:numId w:val="46"/>
        </w:numPr>
        <w:rPr>
          <w:b/>
          <w:i/>
          <w:lang w:val="en-GB" w:eastAsia="ko-KR"/>
        </w:rPr>
      </w:pPr>
      <w:r w:rsidRPr="00C6206B">
        <w:rPr>
          <w:b/>
          <w:i/>
          <w:lang w:val="en-GB" w:eastAsia="ko-KR"/>
        </w:rPr>
        <w:t>Packet reception ratio (PRR).</w:t>
      </w:r>
    </w:p>
    <w:p w14:paraId="00D073BE" w14:textId="77777777" w:rsidR="00C6206B" w:rsidRPr="00C6206B" w:rsidRDefault="00C6206B" w:rsidP="00C6206B">
      <w:pPr>
        <w:pStyle w:val="ListParagraph"/>
        <w:numPr>
          <w:ilvl w:val="0"/>
          <w:numId w:val="46"/>
        </w:numPr>
        <w:rPr>
          <w:b/>
          <w:i/>
          <w:lang w:val="en-GB" w:eastAsia="ko-KR"/>
        </w:rPr>
      </w:pPr>
      <w:r w:rsidRPr="00C6206B">
        <w:rPr>
          <w:b/>
          <w:i/>
          <w:lang w:val="en-GB" w:eastAsia="ko-KR"/>
        </w:rPr>
        <w:t>Packet inter-reception (PIR).</w:t>
      </w:r>
    </w:p>
    <w:p w14:paraId="29B8F35F" w14:textId="77777777" w:rsidR="00CE0E5C" w:rsidRPr="00C6206B" w:rsidRDefault="00CE0E5C" w:rsidP="009C0C2D">
      <w:pPr>
        <w:rPr>
          <w:b/>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4D9253AD" w14:textId="5B218C00" w:rsidR="003A421C" w:rsidRPr="00CC0979" w:rsidRDefault="00201D56" w:rsidP="00201D56">
      <w:pPr>
        <w:pStyle w:val="ListParagraph"/>
        <w:numPr>
          <w:ilvl w:val="0"/>
          <w:numId w:val="16"/>
        </w:numPr>
        <w:spacing w:after="60" w:line="288" w:lineRule="auto"/>
        <w:jc w:val="both"/>
      </w:pPr>
      <w:bookmarkStart w:id="8" w:name="_Ref101557947"/>
      <w:bookmarkStart w:id="9" w:name="_Ref521501348"/>
      <w:bookmarkStart w:id="10" w:name="_Ref30756422"/>
      <w:bookmarkStart w:id="11" w:name="_Ref462779233"/>
      <w:r>
        <w:t>RP-221938</w:t>
      </w:r>
      <w:r w:rsidR="00ED74F5">
        <w:t>, “</w:t>
      </w:r>
      <w:r>
        <w:t xml:space="preserve">WID revision: </w:t>
      </w:r>
      <w:r w:rsidR="00ED74F5">
        <w:t xml:space="preserve">NR Sidelink Evolution”, </w:t>
      </w:r>
      <w:r w:rsidR="00ED74F5">
        <w:rPr>
          <w:rFonts w:eastAsia="Malgun Gothic"/>
          <w:lang w:eastAsia="ko-KR"/>
        </w:rPr>
        <w:t>3GPP RAN#9</w:t>
      </w:r>
      <w:r>
        <w:rPr>
          <w:rFonts w:eastAsia="Malgun Gothic"/>
          <w:lang w:eastAsia="ko-KR"/>
        </w:rPr>
        <w:t>7</w:t>
      </w:r>
      <w:r w:rsidR="00ED74F5">
        <w:rPr>
          <w:rFonts w:eastAsia="Malgun Gothic"/>
          <w:lang w:eastAsia="ko-KR"/>
        </w:rPr>
        <w:t>e</w:t>
      </w:r>
      <w:r w:rsidR="00ED74F5" w:rsidRPr="00EE7300">
        <w:rPr>
          <w:rFonts w:eastAsia="Malgun Gothic"/>
          <w:lang w:eastAsia="ko-KR"/>
        </w:rPr>
        <w:t xml:space="preserve">, e-Meeting, </w:t>
      </w:r>
      <w:r>
        <w:rPr>
          <w:rFonts w:eastAsia="Malgun Gothic"/>
          <w:lang w:eastAsia="ko-KR"/>
        </w:rPr>
        <w:t>September, 2022</w:t>
      </w:r>
      <w:r w:rsidR="00ED74F5">
        <w:rPr>
          <w:rFonts w:eastAsia="Malgun Gothic"/>
          <w:lang w:eastAsia="ko-KR"/>
        </w:rPr>
        <w:t>.</w:t>
      </w:r>
      <w:bookmarkEnd w:id="8"/>
    </w:p>
    <w:p w14:paraId="3104BEFB" w14:textId="07068F10" w:rsidR="00CC0979" w:rsidRDefault="00CC0979" w:rsidP="00201D56">
      <w:pPr>
        <w:pStyle w:val="ListParagraph"/>
        <w:numPr>
          <w:ilvl w:val="0"/>
          <w:numId w:val="16"/>
        </w:numPr>
        <w:spacing w:after="60" w:line="288" w:lineRule="auto"/>
        <w:jc w:val="both"/>
      </w:pPr>
      <w:bookmarkStart w:id="12" w:name="_Ref114757316"/>
      <w:r>
        <w:t>TR 36.843 V12.0.1, “Study on LTE device to device proximity services”, March, 2014.</w:t>
      </w:r>
      <w:bookmarkEnd w:id="12"/>
    </w:p>
    <w:p w14:paraId="21AB0C4A" w14:textId="01E459E3" w:rsidR="009A6B8C" w:rsidRDefault="009A6B8C" w:rsidP="00201D56">
      <w:pPr>
        <w:pStyle w:val="ListParagraph"/>
        <w:numPr>
          <w:ilvl w:val="0"/>
          <w:numId w:val="16"/>
        </w:numPr>
        <w:spacing w:after="60" w:line="288" w:lineRule="auto"/>
        <w:jc w:val="both"/>
      </w:pPr>
      <w:bookmarkStart w:id="13" w:name="_Ref114770852"/>
      <w:r>
        <w:t>TR 37.885 V15.3.0, “Study on evaluation methodology of new vehicle-to-everything (V2X) use cases for LTE and NR”, June, 2019.</w:t>
      </w:r>
      <w:bookmarkEnd w:id="13"/>
    </w:p>
    <w:p w14:paraId="305902FA" w14:textId="675DA701" w:rsidR="00217F5A" w:rsidRPr="00EE7300" w:rsidRDefault="00217F5A" w:rsidP="00201D56">
      <w:pPr>
        <w:pStyle w:val="ListParagraph"/>
        <w:numPr>
          <w:ilvl w:val="0"/>
          <w:numId w:val="16"/>
        </w:numPr>
        <w:spacing w:after="60" w:line="288" w:lineRule="auto"/>
        <w:jc w:val="both"/>
      </w:pPr>
      <w:bookmarkStart w:id="14" w:name="_Ref114771245"/>
      <w:r>
        <w:t>TR 38.901 V16.1.0, “Study on channel model for frequencies from 0.5 GHz to 100 GHz”, December, 2019.</w:t>
      </w:r>
      <w:bookmarkEnd w:id="14"/>
    </w:p>
    <w:bookmarkEnd w:id="9"/>
    <w:bookmarkEnd w:id="10"/>
    <w:p w14:paraId="7C73DB1C" w14:textId="77777777" w:rsidR="00391669" w:rsidRPr="00EE7300" w:rsidRDefault="00391669" w:rsidP="00391669">
      <w:pPr>
        <w:spacing w:after="60" w:line="288" w:lineRule="auto"/>
        <w:jc w:val="both"/>
      </w:pPr>
    </w:p>
    <w:bookmarkEnd w:id="11"/>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4"/>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33642" w14:textId="77777777" w:rsidR="003428A8" w:rsidRPr="00C47AD2" w:rsidRDefault="003428A8">
      <w:pPr>
        <w:rPr>
          <w:rFonts w:ascii="Arial" w:hAnsi="Arial"/>
          <w:sz w:val="12"/>
        </w:rPr>
      </w:pPr>
      <w:r>
        <w:separator/>
      </w:r>
    </w:p>
  </w:endnote>
  <w:endnote w:type="continuationSeparator" w:id="0">
    <w:p w14:paraId="38131CDF" w14:textId="77777777" w:rsidR="003428A8" w:rsidRPr="00C47AD2" w:rsidRDefault="003428A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modern"/>
    <w:pitch w:val="variable"/>
    <w:sig w:usb0="00000000"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8038938"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806AB">
      <w:rPr>
        <w:rStyle w:val="PageNumber"/>
      </w:rPr>
      <w:t>4</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DD930" w14:textId="77777777" w:rsidR="003428A8" w:rsidRPr="00C47AD2" w:rsidRDefault="003428A8">
      <w:pPr>
        <w:rPr>
          <w:rFonts w:ascii="Arial" w:hAnsi="Arial"/>
          <w:sz w:val="12"/>
        </w:rPr>
      </w:pPr>
      <w:r>
        <w:separator/>
      </w:r>
    </w:p>
  </w:footnote>
  <w:footnote w:type="continuationSeparator" w:id="0">
    <w:p w14:paraId="1AB0560B" w14:textId="77777777" w:rsidR="003428A8" w:rsidRPr="00C47AD2" w:rsidRDefault="003428A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D0AB9"/>
    <w:multiLevelType w:val="hybridMultilevel"/>
    <w:tmpl w:val="17C0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43913"/>
    <w:multiLevelType w:val="hybridMultilevel"/>
    <w:tmpl w:val="099C1900"/>
    <w:lvl w:ilvl="0" w:tplc="D052628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67C7413"/>
    <w:multiLevelType w:val="hybridMultilevel"/>
    <w:tmpl w:val="3478417C"/>
    <w:lvl w:ilvl="0" w:tplc="EA00805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081A7D2F"/>
    <w:multiLevelType w:val="hybridMultilevel"/>
    <w:tmpl w:val="3D3EDEB2"/>
    <w:lvl w:ilvl="0" w:tplc="959ACFCC">
      <w:start w:val="18"/>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2456B8"/>
    <w:multiLevelType w:val="hybridMultilevel"/>
    <w:tmpl w:val="A5DA405E"/>
    <w:lvl w:ilvl="0" w:tplc="81D2E8FC">
      <w:start w:val="1"/>
      <w:numFmt w:val="bullet"/>
      <w:lvlText w:val="-"/>
      <w:lvlJc w:val="left"/>
      <w:pPr>
        <w:ind w:left="720" w:hanging="360"/>
      </w:pPr>
      <w:rPr>
        <w:rFonts w:ascii="Calibri" w:eastAsia="Gulim"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1091E23"/>
    <w:multiLevelType w:val="hybridMultilevel"/>
    <w:tmpl w:val="4CCA509A"/>
    <w:lvl w:ilvl="0" w:tplc="04090009">
      <w:start w:val="1"/>
      <w:numFmt w:val="bullet"/>
      <w:lvlText w:val=""/>
      <w:lvlJc w:val="left"/>
      <w:pPr>
        <w:ind w:left="968" w:hanging="400"/>
      </w:pPr>
      <w:rPr>
        <w:rFonts w:ascii="Wingdings" w:hAnsi="Wingdings" w:hint="default"/>
      </w:rPr>
    </w:lvl>
    <w:lvl w:ilvl="1" w:tplc="A80C6476">
      <w:start w:val="1"/>
      <w:numFmt w:val="bullet"/>
      <w:lvlText w:val="−"/>
      <w:lvlJc w:val="left"/>
      <w:pPr>
        <w:ind w:left="1368" w:hanging="400"/>
      </w:pPr>
      <w:rPr>
        <w:rFonts w:ascii="Calibri" w:hAnsi="Calibri" w:cs="Times New Roman" w:hint="default"/>
      </w:rPr>
    </w:lvl>
    <w:lvl w:ilvl="2" w:tplc="3BBE752A">
      <w:start w:val="1"/>
      <w:numFmt w:val="bullet"/>
      <w:lvlText w:val="•"/>
      <w:lvlJc w:val="left"/>
      <w:pPr>
        <w:ind w:left="1768" w:hanging="400"/>
      </w:pPr>
      <w:rPr>
        <w:rFonts w:ascii="Arial" w:hAnsi="Arial" w:cs="Times New Roman" w:hint="default"/>
      </w:rPr>
    </w:lvl>
    <w:lvl w:ilvl="3" w:tplc="04090001">
      <w:start w:val="1"/>
      <w:numFmt w:val="bullet"/>
      <w:lvlText w:val=""/>
      <w:lvlJc w:val="left"/>
      <w:pPr>
        <w:ind w:left="2168" w:hanging="400"/>
      </w:pPr>
      <w:rPr>
        <w:rFonts w:ascii="Wingdings" w:hAnsi="Wingdings" w:hint="default"/>
      </w:rPr>
    </w:lvl>
    <w:lvl w:ilvl="4" w:tplc="04090003">
      <w:start w:val="1"/>
      <w:numFmt w:val="bullet"/>
      <w:lvlText w:val=""/>
      <w:lvlJc w:val="left"/>
      <w:pPr>
        <w:ind w:left="2568" w:hanging="400"/>
      </w:pPr>
      <w:rPr>
        <w:rFonts w:ascii="Wingdings" w:hAnsi="Wingdings" w:hint="default"/>
      </w:rPr>
    </w:lvl>
    <w:lvl w:ilvl="5" w:tplc="04090005">
      <w:start w:val="1"/>
      <w:numFmt w:val="bullet"/>
      <w:lvlText w:val=""/>
      <w:lvlJc w:val="left"/>
      <w:pPr>
        <w:ind w:left="2968" w:hanging="400"/>
      </w:pPr>
      <w:rPr>
        <w:rFonts w:ascii="Wingdings" w:hAnsi="Wingdings" w:hint="default"/>
      </w:rPr>
    </w:lvl>
    <w:lvl w:ilvl="6" w:tplc="04090001">
      <w:start w:val="1"/>
      <w:numFmt w:val="bullet"/>
      <w:lvlText w:val=""/>
      <w:lvlJc w:val="left"/>
      <w:pPr>
        <w:ind w:left="3368" w:hanging="400"/>
      </w:pPr>
      <w:rPr>
        <w:rFonts w:ascii="Wingdings" w:hAnsi="Wingdings" w:hint="default"/>
      </w:rPr>
    </w:lvl>
    <w:lvl w:ilvl="7" w:tplc="04090003">
      <w:start w:val="1"/>
      <w:numFmt w:val="bullet"/>
      <w:lvlText w:val=""/>
      <w:lvlJc w:val="left"/>
      <w:pPr>
        <w:ind w:left="3768" w:hanging="400"/>
      </w:pPr>
      <w:rPr>
        <w:rFonts w:ascii="Wingdings" w:hAnsi="Wingdings" w:hint="default"/>
      </w:rPr>
    </w:lvl>
    <w:lvl w:ilvl="8" w:tplc="04090005">
      <w:start w:val="1"/>
      <w:numFmt w:val="bullet"/>
      <w:lvlText w:val=""/>
      <w:lvlJc w:val="left"/>
      <w:pPr>
        <w:ind w:left="4168" w:hanging="400"/>
      </w:pPr>
      <w:rPr>
        <w:rFonts w:ascii="Wingdings" w:hAnsi="Wingdings" w:hint="default"/>
      </w:rPr>
    </w:lvl>
  </w:abstractNum>
  <w:abstractNum w:abstractNumId="13"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34B4A"/>
    <w:multiLevelType w:val="hybridMultilevel"/>
    <w:tmpl w:val="FB4C2FA8"/>
    <w:lvl w:ilvl="0" w:tplc="F942DFA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8C7F79"/>
    <w:multiLevelType w:val="hybridMultilevel"/>
    <w:tmpl w:val="D13A1CF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9950D7A"/>
    <w:multiLevelType w:val="hybridMultilevel"/>
    <w:tmpl w:val="7094764C"/>
    <w:lvl w:ilvl="0" w:tplc="5E461A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B313C"/>
    <w:multiLevelType w:val="hybridMultilevel"/>
    <w:tmpl w:val="AAD8B2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8"/>
  </w:num>
  <w:num w:numId="5">
    <w:abstractNumId w:val="27"/>
  </w:num>
  <w:num w:numId="6">
    <w:abstractNumId w:val="42"/>
  </w:num>
  <w:num w:numId="7">
    <w:abstractNumId w:val="28"/>
  </w:num>
  <w:num w:numId="8">
    <w:abstractNumId w:val="23"/>
  </w:num>
  <w:num w:numId="9">
    <w:abstractNumId w:val="40"/>
  </w:num>
  <w:num w:numId="10">
    <w:abstractNumId w:val="9"/>
  </w:num>
  <w:num w:numId="11">
    <w:abstractNumId w:val="11"/>
  </w:num>
  <w:num w:numId="12">
    <w:abstractNumId w:val="4"/>
  </w:num>
  <w:num w:numId="13">
    <w:abstractNumId w:val="41"/>
  </w:num>
  <w:num w:numId="14">
    <w:abstractNumId w:val="30"/>
  </w:num>
  <w:num w:numId="15">
    <w:abstractNumId w:val="34"/>
  </w:num>
  <w:num w:numId="16">
    <w:abstractNumId w:val="31"/>
  </w:num>
  <w:num w:numId="17">
    <w:abstractNumId w:val="21"/>
  </w:num>
  <w:num w:numId="18">
    <w:abstractNumId w:val="35"/>
  </w:num>
  <w:num w:numId="19">
    <w:abstractNumId w:val="29"/>
  </w:num>
  <w:num w:numId="20">
    <w:abstractNumId w:val="37"/>
  </w:num>
  <w:num w:numId="21">
    <w:abstractNumId w:val="32"/>
  </w:num>
  <w:num w:numId="22">
    <w:abstractNumId w:val="15"/>
  </w:num>
  <w:num w:numId="23">
    <w:abstractNumId w:val="36"/>
  </w:num>
  <w:num w:numId="24">
    <w:abstractNumId w:val="24"/>
  </w:num>
  <w:num w:numId="25">
    <w:abstractNumId w:val="19"/>
  </w:num>
  <w:num w:numId="26">
    <w:abstractNumId w:val="38"/>
  </w:num>
  <w:num w:numId="27">
    <w:abstractNumId w:val="33"/>
  </w:num>
  <w:num w:numId="28">
    <w:abstractNumId w:val="43"/>
  </w:num>
  <w:num w:numId="29">
    <w:abstractNumId w:val="1"/>
  </w:num>
  <w:num w:numId="30">
    <w:abstractNumId w:val="13"/>
  </w:num>
  <w:num w:numId="31">
    <w:abstractNumId w:val="11"/>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7"/>
  </w:num>
  <w:num w:numId="35">
    <w:abstractNumId w:val="17"/>
  </w:num>
  <w:num w:numId="36">
    <w:abstractNumId w:val="26"/>
  </w:num>
  <w:num w:numId="37">
    <w:abstractNumId w:val="12"/>
  </w:num>
  <w:num w:numId="38">
    <w:abstractNumId w:val="10"/>
  </w:num>
  <w:num w:numId="39">
    <w:abstractNumId w:val="6"/>
  </w:num>
  <w:num w:numId="40">
    <w:abstractNumId w:val="25"/>
  </w:num>
  <w:num w:numId="41">
    <w:abstractNumId w:val="16"/>
  </w:num>
  <w:num w:numId="42">
    <w:abstractNumId w:val="2"/>
  </w:num>
  <w:num w:numId="43">
    <w:abstractNumId w:val="14"/>
  </w:num>
  <w:num w:numId="44">
    <w:abstractNumId w:val="22"/>
  </w:num>
  <w:num w:numId="45">
    <w:abstractNumId w:val="3"/>
  </w:num>
  <w:num w:numId="46">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4A"/>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56"/>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17F5A"/>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8A8"/>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7E2"/>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5E57"/>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2AE"/>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38"/>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0F66"/>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2FB"/>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6B8C"/>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253"/>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C9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06B"/>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6AB"/>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979"/>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ADC"/>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249"/>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99F"/>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75C8F-EA3A-4D1C-B35B-8B25BE975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4</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12</cp:revision>
  <cp:lastPrinted>2010-03-24T01:20:00Z</cp:lastPrinted>
  <dcterms:created xsi:type="dcterms:W3CDTF">2022-08-10T22:11:00Z</dcterms:created>
  <dcterms:modified xsi:type="dcterms:W3CDTF">2022-09-30T01:48:00Z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